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4D" w:rsidRPr="00DA13B5" w:rsidRDefault="00DE624D" w:rsidP="00DE624D">
      <w:pPr>
        <w:spacing w:after="0" w:line="240" w:lineRule="auto"/>
        <w:rPr>
          <w:b/>
          <w:color w:val="000066"/>
        </w:rPr>
      </w:pPr>
      <w:r w:rsidRPr="00DA13B5">
        <w:rPr>
          <w:b/>
          <w:color w:val="000066"/>
        </w:rPr>
        <w:t xml:space="preserve">A.Ramesh Babu                             </w:t>
      </w:r>
      <w:r w:rsidRPr="00DA13B5">
        <w:rPr>
          <w:b/>
          <w:color w:val="000066"/>
        </w:rPr>
        <w:tab/>
      </w:r>
      <w:r w:rsidRPr="00DA13B5">
        <w:rPr>
          <w:b/>
          <w:color w:val="000066"/>
        </w:rPr>
        <w:tab/>
      </w:r>
      <w:r w:rsidRPr="00DA13B5">
        <w:rPr>
          <w:b/>
          <w:color w:val="000066"/>
        </w:rPr>
        <w:tab/>
        <w:t xml:space="preserve">         K.V.Acharya</w:t>
      </w:r>
    </w:p>
    <w:p w:rsidR="00DE624D" w:rsidRPr="00DA13B5" w:rsidRDefault="00DE624D" w:rsidP="00DE624D">
      <w:pPr>
        <w:spacing w:after="0" w:line="240" w:lineRule="auto"/>
        <w:rPr>
          <w:b/>
          <w:color w:val="000066"/>
        </w:rPr>
      </w:pPr>
      <w:r w:rsidRPr="00DA13B5">
        <w:rPr>
          <w:b/>
          <w:color w:val="000066"/>
        </w:rPr>
        <w:t>Joint Convener</w:t>
      </w:r>
      <w:r w:rsidRPr="00DA13B5">
        <w:rPr>
          <w:b/>
          <w:color w:val="000066"/>
        </w:rPr>
        <w:tab/>
      </w:r>
      <w:r w:rsidRPr="00DA13B5">
        <w:rPr>
          <w:b/>
          <w:color w:val="000066"/>
        </w:rPr>
        <w:tab/>
      </w:r>
      <w:r w:rsidRPr="00DA13B5">
        <w:rPr>
          <w:b/>
          <w:color w:val="000066"/>
        </w:rPr>
        <w:tab/>
      </w:r>
      <w:r w:rsidRPr="00DA13B5">
        <w:rPr>
          <w:b/>
          <w:color w:val="000066"/>
        </w:rPr>
        <w:tab/>
      </w:r>
      <w:r w:rsidRPr="00DA13B5">
        <w:rPr>
          <w:b/>
          <w:color w:val="000066"/>
        </w:rPr>
        <w:tab/>
      </w:r>
      <w:r w:rsidRPr="00DA13B5">
        <w:rPr>
          <w:b/>
          <w:color w:val="000066"/>
        </w:rPr>
        <w:tab/>
        <w:t xml:space="preserve">         Joint Convener,</w:t>
      </w:r>
    </w:p>
    <w:p w:rsidR="00DE624D" w:rsidRPr="00DA13B5" w:rsidRDefault="00DE624D" w:rsidP="00DE624D">
      <w:pPr>
        <w:spacing w:after="0" w:line="240" w:lineRule="auto"/>
        <w:rPr>
          <w:b/>
          <w:color w:val="000066"/>
        </w:rPr>
      </w:pPr>
      <w:r>
        <w:rPr>
          <w:b/>
          <w:color w:val="000066"/>
        </w:rPr>
        <w:t>Flat No 1103, Block 3B</w:t>
      </w:r>
      <w:r w:rsidRPr="00DA13B5">
        <w:rPr>
          <w:b/>
          <w:color w:val="000066"/>
        </w:rPr>
        <w:t>,</w:t>
      </w:r>
      <w:r w:rsidRPr="00DA13B5">
        <w:rPr>
          <w:b/>
          <w:color w:val="000066"/>
        </w:rPr>
        <w:tab/>
      </w:r>
      <w:r w:rsidRPr="00DA13B5">
        <w:rPr>
          <w:b/>
          <w:color w:val="000066"/>
        </w:rPr>
        <w:tab/>
      </w:r>
      <w:r w:rsidRPr="00DA13B5">
        <w:rPr>
          <w:b/>
          <w:color w:val="000066"/>
        </w:rPr>
        <w:tab/>
      </w:r>
      <w:r w:rsidRPr="00DA13B5">
        <w:rPr>
          <w:b/>
          <w:color w:val="000066"/>
        </w:rPr>
        <w:tab/>
      </w:r>
      <w:r w:rsidRPr="00DA13B5">
        <w:rPr>
          <w:b/>
          <w:color w:val="000066"/>
        </w:rPr>
        <w:tab/>
        <w:t xml:space="preserve">         J-208 Vijay Rat</w:t>
      </w:r>
      <w:r>
        <w:rPr>
          <w:b/>
          <w:color w:val="000066"/>
        </w:rPr>
        <w:t>t</w:t>
      </w:r>
      <w:r w:rsidRPr="00DA13B5">
        <w:rPr>
          <w:b/>
          <w:color w:val="000066"/>
        </w:rPr>
        <w:t>an Vihar,</w:t>
      </w:r>
    </w:p>
    <w:p w:rsidR="00DE624D" w:rsidRPr="00DA13B5" w:rsidRDefault="00DE624D" w:rsidP="00DE624D">
      <w:pPr>
        <w:spacing w:after="0" w:line="240" w:lineRule="auto"/>
        <w:rPr>
          <w:b/>
          <w:color w:val="000066"/>
        </w:rPr>
      </w:pPr>
      <w:r w:rsidRPr="00DA13B5">
        <w:rPr>
          <w:b/>
          <w:color w:val="000066"/>
        </w:rPr>
        <w:t>S.M.R. Vinay Fountainhead,</w:t>
      </w:r>
      <w:r w:rsidRPr="00DA13B5">
        <w:rPr>
          <w:b/>
          <w:color w:val="000066"/>
        </w:rPr>
        <w:tab/>
      </w:r>
      <w:r w:rsidRPr="00DA13B5">
        <w:rPr>
          <w:b/>
          <w:color w:val="000066"/>
        </w:rPr>
        <w:tab/>
      </w:r>
      <w:r w:rsidRPr="00DA13B5">
        <w:rPr>
          <w:b/>
          <w:color w:val="000066"/>
        </w:rPr>
        <w:tab/>
        <w:t xml:space="preserve"> </w:t>
      </w:r>
      <w:r w:rsidRPr="00DA13B5">
        <w:rPr>
          <w:b/>
          <w:color w:val="000066"/>
        </w:rPr>
        <w:tab/>
        <w:t xml:space="preserve">         Sector 15, Part II, </w:t>
      </w:r>
    </w:p>
    <w:p w:rsidR="00DE624D" w:rsidRPr="00DA13B5" w:rsidRDefault="00DE624D" w:rsidP="00DE624D">
      <w:pPr>
        <w:spacing w:after="0" w:line="240" w:lineRule="auto"/>
        <w:rPr>
          <w:b/>
          <w:color w:val="000066"/>
        </w:rPr>
      </w:pPr>
      <w:r w:rsidRPr="00DA13B5">
        <w:rPr>
          <w:b/>
          <w:color w:val="000066"/>
        </w:rPr>
        <w:t>Culvary Temple Road,</w:t>
      </w:r>
      <w:r w:rsidRPr="00DA13B5">
        <w:rPr>
          <w:b/>
          <w:color w:val="000066"/>
        </w:rPr>
        <w:tab/>
      </w:r>
      <w:r w:rsidRPr="00DA13B5">
        <w:rPr>
          <w:b/>
          <w:color w:val="000066"/>
        </w:rPr>
        <w:tab/>
      </w:r>
      <w:r w:rsidRPr="00DA13B5">
        <w:rPr>
          <w:b/>
          <w:color w:val="000066"/>
        </w:rPr>
        <w:tab/>
      </w:r>
      <w:r w:rsidRPr="00DA13B5">
        <w:rPr>
          <w:b/>
          <w:color w:val="000066"/>
        </w:rPr>
        <w:tab/>
      </w:r>
      <w:r w:rsidRPr="00DA13B5">
        <w:rPr>
          <w:b/>
          <w:color w:val="000066"/>
        </w:rPr>
        <w:tab/>
        <w:t xml:space="preserve">         Gurgaon 122001</w:t>
      </w:r>
    </w:p>
    <w:p w:rsidR="00DE624D" w:rsidRPr="00DA13B5" w:rsidRDefault="00DE624D" w:rsidP="00DE624D">
      <w:pPr>
        <w:spacing w:after="0" w:line="240" w:lineRule="auto"/>
        <w:rPr>
          <w:b/>
          <w:color w:val="000066"/>
        </w:rPr>
      </w:pPr>
      <w:r w:rsidRPr="00DA13B5">
        <w:rPr>
          <w:b/>
          <w:color w:val="000066"/>
        </w:rPr>
        <w:t>Hyderabad 500 049</w:t>
      </w:r>
      <w:r w:rsidRPr="00DA13B5">
        <w:rPr>
          <w:b/>
          <w:color w:val="000066"/>
        </w:rPr>
        <w:tab/>
      </w:r>
      <w:r w:rsidRPr="00DA13B5">
        <w:rPr>
          <w:b/>
          <w:color w:val="000066"/>
        </w:rPr>
        <w:tab/>
      </w:r>
      <w:r w:rsidRPr="00DA13B5">
        <w:rPr>
          <w:b/>
          <w:color w:val="000066"/>
        </w:rPr>
        <w:tab/>
      </w:r>
      <w:r w:rsidRPr="00DA13B5">
        <w:rPr>
          <w:b/>
          <w:color w:val="000066"/>
        </w:rPr>
        <w:tab/>
      </w:r>
      <w:r w:rsidRPr="00DA13B5">
        <w:rPr>
          <w:b/>
          <w:color w:val="000066"/>
        </w:rPr>
        <w:tab/>
        <w:t xml:space="preserve">         Mobile: 09868220338</w:t>
      </w:r>
      <w:r w:rsidRPr="00DA13B5">
        <w:rPr>
          <w:b/>
          <w:color w:val="000066"/>
        </w:rPr>
        <w:tab/>
      </w:r>
      <w:r w:rsidRPr="00DA13B5">
        <w:rPr>
          <w:b/>
          <w:color w:val="000066"/>
        </w:rPr>
        <w:tab/>
      </w:r>
    </w:p>
    <w:p w:rsidR="00DE624D" w:rsidRPr="00DA13B5" w:rsidRDefault="00DE624D" w:rsidP="00DE624D">
      <w:pPr>
        <w:spacing w:after="0" w:line="240" w:lineRule="auto"/>
        <w:rPr>
          <w:b/>
          <w:color w:val="000066"/>
        </w:rPr>
      </w:pPr>
      <w:r w:rsidRPr="00DA13B5">
        <w:rPr>
          <w:b/>
          <w:color w:val="000066"/>
        </w:rPr>
        <w:t>Mobile: 09849381995                                                                      E-mail: acharyavedavyasa46@gmail.com</w:t>
      </w:r>
    </w:p>
    <w:p w:rsidR="00DE624D" w:rsidRPr="00DA13B5" w:rsidRDefault="00DE624D" w:rsidP="00DE624D">
      <w:pPr>
        <w:spacing w:after="0" w:line="240" w:lineRule="auto"/>
        <w:rPr>
          <w:b/>
          <w:color w:val="000066"/>
        </w:rPr>
      </w:pPr>
      <w:r w:rsidRPr="00DA13B5">
        <w:rPr>
          <w:b/>
          <w:color w:val="000066"/>
        </w:rPr>
        <w:t xml:space="preserve">E-mail: </w:t>
      </w:r>
      <w:hyperlink r:id="rId7" w:history="1">
        <w:r w:rsidRPr="00DA13B5">
          <w:rPr>
            <w:rStyle w:val="Hyperlink"/>
            <w:b/>
            <w:color w:val="000066"/>
          </w:rPr>
          <w:t>babu2609@gmail.com</w:t>
        </w:r>
      </w:hyperlink>
      <w:r w:rsidRPr="00DA13B5">
        <w:rPr>
          <w:b/>
          <w:color w:val="000066"/>
        </w:rPr>
        <w:t xml:space="preserve">  </w:t>
      </w:r>
    </w:p>
    <w:p w:rsidR="00DE624D" w:rsidRPr="005C0ABB" w:rsidRDefault="00DE624D" w:rsidP="00DE624D">
      <w:pPr>
        <w:spacing w:after="0" w:line="240" w:lineRule="auto"/>
        <w:rPr>
          <w:b/>
          <w:color w:val="000066"/>
          <w:sz w:val="24"/>
          <w:szCs w:val="24"/>
        </w:rPr>
      </w:pPr>
      <w:r w:rsidRPr="005C0ABB">
        <w:rPr>
          <w:b/>
          <w:color w:val="000066"/>
          <w:sz w:val="24"/>
          <w:szCs w:val="24"/>
        </w:rPr>
        <w:t>______________________________________________________________________________</w:t>
      </w:r>
    </w:p>
    <w:p w:rsidR="00DE624D" w:rsidRDefault="00DE624D" w:rsidP="00DE624D">
      <w:pPr>
        <w:spacing w:after="0" w:line="240" w:lineRule="auto"/>
        <w:rPr>
          <w:b/>
        </w:rPr>
      </w:pPr>
      <w:r w:rsidRPr="00DA13B5">
        <w:rPr>
          <w:b/>
          <w:color w:val="000066"/>
        </w:rPr>
        <w:tab/>
      </w:r>
      <w:r w:rsidRPr="00DA13B5">
        <w:rPr>
          <w:b/>
          <w:color w:val="000066"/>
        </w:rPr>
        <w:tab/>
      </w:r>
      <w:r w:rsidRPr="00DA13B5">
        <w:rPr>
          <w:b/>
          <w:color w:val="000066"/>
        </w:rPr>
        <w:tab/>
      </w:r>
      <w:r>
        <w:rPr>
          <w:b/>
        </w:rPr>
        <w:tab/>
      </w:r>
      <w:r>
        <w:rPr>
          <w:b/>
        </w:rPr>
        <w:tab/>
      </w:r>
      <w:r>
        <w:rPr>
          <w:b/>
        </w:rPr>
        <w:tab/>
        <w:t xml:space="preserve">                                                 Dated: 1</w:t>
      </w:r>
      <w:r w:rsidR="005C0ABB">
        <w:rPr>
          <w:b/>
        </w:rPr>
        <w:t>1</w:t>
      </w:r>
      <w:r>
        <w:rPr>
          <w:b/>
        </w:rPr>
        <w:t>.0</w:t>
      </w:r>
      <w:r w:rsidR="005C0ABB">
        <w:rPr>
          <w:b/>
        </w:rPr>
        <w:t>3</w:t>
      </w:r>
      <w:r>
        <w:rPr>
          <w:b/>
        </w:rPr>
        <w:t>.2017</w:t>
      </w:r>
      <w:r>
        <w:rPr>
          <w:b/>
        </w:rPr>
        <w:tab/>
      </w:r>
    </w:p>
    <w:p w:rsidR="00DE624D" w:rsidRPr="005C0ABB" w:rsidRDefault="00DE624D" w:rsidP="00DE624D">
      <w:pPr>
        <w:spacing w:after="0" w:line="240" w:lineRule="auto"/>
        <w:rPr>
          <w:rFonts w:ascii="Arial" w:hAnsi="Arial" w:cs="Arial"/>
          <w:b/>
        </w:rPr>
      </w:pPr>
      <w:r w:rsidRPr="00D670E9">
        <w:rPr>
          <w:b/>
        </w:rPr>
        <w:t>To</w:t>
      </w:r>
    </w:p>
    <w:p w:rsidR="00DE624D" w:rsidRPr="005C0ABB" w:rsidRDefault="00DE624D" w:rsidP="00DE624D">
      <w:pPr>
        <w:spacing w:after="0" w:line="240" w:lineRule="auto"/>
        <w:rPr>
          <w:rFonts w:ascii="Arial" w:hAnsi="Arial" w:cs="Arial"/>
          <w:b/>
        </w:rPr>
      </w:pPr>
      <w:r w:rsidRPr="005C0ABB">
        <w:rPr>
          <w:rFonts w:ascii="Arial" w:hAnsi="Arial" w:cs="Arial"/>
          <w:b/>
        </w:rPr>
        <w:t>Ms Kalpana Sisodia,</w:t>
      </w:r>
    </w:p>
    <w:p w:rsidR="00DE624D" w:rsidRPr="005C0ABB" w:rsidRDefault="00DE624D" w:rsidP="00DE624D">
      <w:pPr>
        <w:spacing w:after="0" w:line="240" w:lineRule="auto"/>
        <w:rPr>
          <w:rFonts w:ascii="Arial" w:hAnsi="Arial" w:cs="Arial"/>
          <w:b/>
        </w:rPr>
      </w:pPr>
      <w:r w:rsidRPr="005C0ABB">
        <w:rPr>
          <w:rFonts w:ascii="Arial" w:hAnsi="Arial" w:cs="Arial"/>
          <w:b/>
        </w:rPr>
        <w:t>Assistant Labour Commissioner (Central)-III</w:t>
      </w:r>
    </w:p>
    <w:p w:rsidR="00DE624D" w:rsidRPr="005C0ABB" w:rsidRDefault="00DE624D" w:rsidP="00DE624D">
      <w:pPr>
        <w:spacing w:after="0" w:line="240" w:lineRule="auto"/>
        <w:rPr>
          <w:rFonts w:ascii="Arial" w:hAnsi="Arial" w:cs="Arial"/>
          <w:b/>
        </w:rPr>
      </w:pPr>
      <w:r w:rsidRPr="005C0ABB">
        <w:rPr>
          <w:rFonts w:ascii="Arial" w:hAnsi="Arial" w:cs="Arial"/>
          <w:b/>
        </w:rPr>
        <w:t>Shram Raksha Bhawan,</w:t>
      </w:r>
    </w:p>
    <w:p w:rsidR="00DE624D" w:rsidRPr="005C0ABB" w:rsidRDefault="00DE624D" w:rsidP="00DE624D">
      <w:pPr>
        <w:spacing w:after="0" w:line="240" w:lineRule="auto"/>
        <w:rPr>
          <w:rFonts w:ascii="Arial" w:hAnsi="Arial" w:cs="Arial"/>
          <w:b/>
        </w:rPr>
      </w:pPr>
      <w:r w:rsidRPr="005C0ABB">
        <w:rPr>
          <w:rFonts w:ascii="Arial" w:hAnsi="Arial" w:cs="Arial"/>
          <w:b/>
        </w:rPr>
        <w:t>Shiv Shrusti Marg,</w:t>
      </w:r>
    </w:p>
    <w:p w:rsidR="00DE624D" w:rsidRPr="005C0ABB" w:rsidRDefault="00DE624D" w:rsidP="00DE624D">
      <w:pPr>
        <w:spacing w:after="0" w:line="240" w:lineRule="auto"/>
        <w:rPr>
          <w:rFonts w:ascii="Arial" w:hAnsi="Arial" w:cs="Arial"/>
          <w:b/>
        </w:rPr>
      </w:pPr>
      <w:r w:rsidRPr="005C0ABB">
        <w:rPr>
          <w:rFonts w:ascii="Arial" w:hAnsi="Arial" w:cs="Arial"/>
          <w:b/>
        </w:rPr>
        <w:t>Eastern Express Highway,</w:t>
      </w:r>
    </w:p>
    <w:p w:rsidR="00DE624D" w:rsidRPr="005C0ABB" w:rsidRDefault="00DE624D" w:rsidP="00DE624D">
      <w:pPr>
        <w:spacing w:after="0" w:line="240" w:lineRule="auto"/>
        <w:rPr>
          <w:rFonts w:ascii="Arial" w:hAnsi="Arial" w:cs="Arial"/>
          <w:b/>
        </w:rPr>
      </w:pPr>
      <w:r w:rsidRPr="005C0ABB">
        <w:rPr>
          <w:rFonts w:ascii="Arial" w:hAnsi="Arial" w:cs="Arial"/>
          <w:b/>
        </w:rPr>
        <w:t>Sion (E), Mumbai-400 022</w:t>
      </w:r>
    </w:p>
    <w:p w:rsidR="00DE624D" w:rsidRPr="005C0ABB" w:rsidRDefault="005C0ABB" w:rsidP="005C0ABB">
      <w:pPr>
        <w:tabs>
          <w:tab w:val="left" w:pos="1644"/>
        </w:tabs>
        <w:spacing w:after="0" w:line="240" w:lineRule="auto"/>
        <w:rPr>
          <w:rFonts w:ascii="Arial" w:hAnsi="Arial" w:cs="Arial"/>
        </w:rPr>
      </w:pPr>
      <w:r w:rsidRPr="005C0ABB">
        <w:rPr>
          <w:rFonts w:ascii="Arial" w:hAnsi="Arial" w:cs="Arial"/>
        </w:rPr>
        <w:tab/>
      </w:r>
    </w:p>
    <w:p w:rsidR="00DE624D" w:rsidRPr="005C0ABB" w:rsidRDefault="00DE624D" w:rsidP="00DE624D">
      <w:pPr>
        <w:spacing w:after="0" w:line="240" w:lineRule="auto"/>
        <w:rPr>
          <w:rFonts w:ascii="Arial" w:hAnsi="Arial" w:cs="Arial"/>
          <w:b/>
        </w:rPr>
      </w:pPr>
      <w:r w:rsidRPr="005C0ABB">
        <w:rPr>
          <w:rFonts w:ascii="Arial" w:hAnsi="Arial" w:cs="Arial"/>
          <w:b/>
        </w:rPr>
        <w:t>Respected Madam,</w:t>
      </w:r>
    </w:p>
    <w:p w:rsidR="00A12904" w:rsidRPr="00E300A0" w:rsidRDefault="00A12904" w:rsidP="00A12904">
      <w:pPr>
        <w:spacing w:after="0" w:line="240" w:lineRule="auto"/>
        <w:jc w:val="both"/>
        <w:rPr>
          <w:rFonts w:ascii="Calibri" w:hAnsi="Calibri" w:cs="Calibri"/>
          <w:sz w:val="28"/>
          <w:szCs w:val="28"/>
        </w:rPr>
      </w:pPr>
    </w:p>
    <w:p w:rsidR="00A12904" w:rsidRPr="001626DE" w:rsidRDefault="005C0ABB" w:rsidP="005C0ABB">
      <w:pPr>
        <w:spacing w:after="0" w:line="240" w:lineRule="auto"/>
        <w:jc w:val="center"/>
        <w:rPr>
          <w:rFonts w:ascii="Calibri" w:hAnsi="Calibri" w:cs="Calibri"/>
          <w:b/>
          <w:sz w:val="28"/>
          <w:szCs w:val="28"/>
          <w:u w:val="single"/>
        </w:rPr>
      </w:pPr>
      <w:r w:rsidRPr="001626DE">
        <w:rPr>
          <w:rFonts w:ascii="Calibri" w:hAnsi="Calibri" w:cs="Calibri"/>
          <w:b/>
          <w:sz w:val="28"/>
          <w:szCs w:val="28"/>
          <w:u w:val="single"/>
        </w:rPr>
        <w:t xml:space="preserve">Sub: </w:t>
      </w:r>
      <w:r w:rsidR="00A12904" w:rsidRPr="001626DE">
        <w:rPr>
          <w:rFonts w:ascii="Calibri" w:hAnsi="Calibri" w:cs="Calibri"/>
          <w:b/>
          <w:sz w:val="28"/>
          <w:szCs w:val="28"/>
          <w:u w:val="single"/>
        </w:rPr>
        <w:t>CBPRO COMPLAINT REGARDING 100% DA NEUTRALISATION TO PRE-2002 RETIREES</w:t>
      </w:r>
      <w:r w:rsidR="001626DE">
        <w:rPr>
          <w:rFonts w:ascii="Calibri" w:hAnsi="Calibri" w:cs="Calibri"/>
          <w:b/>
          <w:sz w:val="28"/>
          <w:szCs w:val="28"/>
          <w:u w:val="single"/>
        </w:rPr>
        <w:t xml:space="preserve">  </w:t>
      </w:r>
      <w:r w:rsidR="00A12904" w:rsidRPr="001626DE">
        <w:rPr>
          <w:rFonts w:ascii="Calibri" w:hAnsi="Calibri" w:cs="Calibri"/>
          <w:b/>
          <w:sz w:val="28"/>
          <w:szCs w:val="28"/>
          <w:u w:val="single"/>
        </w:rPr>
        <w:t>-</w:t>
      </w:r>
      <w:r w:rsidR="001626DE">
        <w:rPr>
          <w:rFonts w:ascii="Calibri" w:hAnsi="Calibri" w:cs="Calibri"/>
          <w:b/>
          <w:sz w:val="28"/>
          <w:szCs w:val="28"/>
          <w:u w:val="single"/>
        </w:rPr>
        <w:t xml:space="preserve">  </w:t>
      </w:r>
      <w:r w:rsidR="00A12904" w:rsidRPr="001626DE">
        <w:rPr>
          <w:rFonts w:ascii="Calibri" w:hAnsi="Calibri" w:cs="Calibri"/>
          <w:b/>
          <w:sz w:val="28"/>
          <w:szCs w:val="28"/>
          <w:u w:val="single"/>
        </w:rPr>
        <w:t>OUR REJOINDER TO INDIAN BANKS’ ASSOCIATION LETTER DATED 15.02.2017 TO YOUR GOOD</w:t>
      </w:r>
      <w:r w:rsidR="00E646C8">
        <w:rPr>
          <w:rFonts w:ascii="Calibri" w:hAnsi="Calibri" w:cs="Calibri"/>
          <w:b/>
          <w:sz w:val="28"/>
          <w:szCs w:val="28"/>
          <w:u w:val="single"/>
        </w:rPr>
        <w:t>-</w:t>
      </w:r>
      <w:r w:rsidR="00A12904" w:rsidRPr="001626DE">
        <w:rPr>
          <w:rFonts w:ascii="Calibri" w:hAnsi="Calibri" w:cs="Calibri"/>
          <w:b/>
          <w:sz w:val="28"/>
          <w:szCs w:val="28"/>
          <w:u w:val="single"/>
        </w:rPr>
        <w:t>SELF.</w:t>
      </w:r>
    </w:p>
    <w:p w:rsidR="00A12904" w:rsidRPr="005C0ABB" w:rsidRDefault="00A12904" w:rsidP="005C0ABB">
      <w:pPr>
        <w:spacing w:after="0" w:line="240" w:lineRule="auto"/>
        <w:jc w:val="center"/>
        <w:rPr>
          <w:rFonts w:ascii="Calibri" w:hAnsi="Calibri" w:cs="Calibri"/>
          <w:b/>
          <w:sz w:val="28"/>
          <w:szCs w:val="28"/>
        </w:rPr>
      </w:pPr>
    </w:p>
    <w:p w:rsidR="00A12904" w:rsidRPr="005C0ABB" w:rsidRDefault="00A12904" w:rsidP="005C0ABB">
      <w:pPr>
        <w:pStyle w:val="ListParagraph"/>
        <w:numPr>
          <w:ilvl w:val="0"/>
          <w:numId w:val="1"/>
        </w:numPr>
        <w:spacing w:after="0" w:line="240" w:lineRule="auto"/>
        <w:jc w:val="both"/>
        <w:rPr>
          <w:rFonts w:ascii="Arial" w:hAnsi="Arial" w:cs="Arial"/>
          <w:sz w:val="24"/>
          <w:szCs w:val="24"/>
        </w:rPr>
      </w:pPr>
      <w:r w:rsidRPr="005C0ABB">
        <w:rPr>
          <w:rFonts w:ascii="Arial" w:hAnsi="Arial" w:cs="Arial"/>
          <w:sz w:val="24"/>
          <w:szCs w:val="24"/>
        </w:rPr>
        <w:t>We refer to the proceedings dated 28.02.2017 in Your Good-self Office.  During the proceedings we submitted a set of documents in support of our contention that non-extension of 100% DA neutralisation to Pre-2002 Retirees is illegal, arbitrary and discriminatory and also in violation of the 8</w:t>
      </w:r>
      <w:r w:rsidRPr="005C0ABB">
        <w:rPr>
          <w:rFonts w:ascii="Arial" w:hAnsi="Arial" w:cs="Arial"/>
          <w:sz w:val="24"/>
          <w:szCs w:val="24"/>
          <w:vertAlign w:val="superscript"/>
        </w:rPr>
        <w:t>th</w:t>
      </w:r>
      <w:r w:rsidRPr="005C0ABB">
        <w:rPr>
          <w:rFonts w:ascii="Arial" w:hAnsi="Arial" w:cs="Arial"/>
          <w:sz w:val="24"/>
          <w:szCs w:val="24"/>
        </w:rPr>
        <w:t xml:space="preserve"> Bipartite Settlement concluded on 2</w:t>
      </w:r>
      <w:r w:rsidRPr="005C0ABB">
        <w:rPr>
          <w:rFonts w:ascii="Arial" w:hAnsi="Arial" w:cs="Arial"/>
          <w:sz w:val="24"/>
          <w:szCs w:val="24"/>
          <w:vertAlign w:val="superscript"/>
        </w:rPr>
        <w:t>nd</w:t>
      </w:r>
      <w:r w:rsidRPr="005C0ABB">
        <w:rPr>
          <w:rFonts w:ascii="Arial" w:hAnsi="Arial" w:cs="Arial"/>
          <w:sz w:val="24"/>
          <w:szCs w:val="24"/>
        </w:rPr>
        <w:t xml:space="preserve"> June, 2005.  We also presented copies of the Joint Note signed between the Officers Associations and the IBA and the </w:t>
      </w:r>
      <w:r w:rsidR="00E646C8">
        <w:rPr>
          <w:rFonts w:ascii="Arial" w:hAnsi="Arial" w:cs="Arial"/>
          <w:sz w:val="24"/>
          <w:szCs w:val="24"/>
        </w:rPr>
        <w:t>S</w:t>
      </w:r>
      <w:r w:rsidRPr="005C0ABB">
        <w:rPr>
          <w:rFonts w:ascii="Arial" w:hAnsi="Arial" w:cs="Arial"/>
          <w:sz w:val="24"/>
          <w:szCs w:val="24"/>
        </w:rPr>
        <w:t>ettlement signed between the Workmen unions and IBA.  Both in th</w:t>
      </w:r>
      <w:r w:rsidR="00E646C8">
        <w:rPr>
          <w:rFonts w:ascii="Arial" w:hAnsi="Arial" w:cs="Arial"/>
          <w:sz w:val="24"/>
          <w:szCs w:val="24"/>
        </w:rPr>
        <w:t>e Joint Note as well as in the S</w:t>
      </w:r>
      <w:r w:rsidRPr="005C0ABB">
        <w:rPr>
          <w:rFonts w:ascii="Arial" w:hAnsi="Arial" w:cs="Arial"/>
          <w:sz w:val="24"/>
          <w:szCs w:val="24"/>
        </w:rPr>
        <w:t>ettlement it is abundantly  clear that “on and from 1</w:t>
      </w:r>
      <w:r w:rsidRPr="005C0ABB">
        <w:rPr>
          <w:rFonts w:ascii="Arial" w:hAnsi="Arial" w:cs="Arial"/>
          <w:sz w:val="24"/>
          <w:szCs w:val="24"/>
          <w:vertAlign w:val="superscript"/>
        </w:rPr>
        <w:t>st</w:t>
      </w:r>
      <w:r w:rsidRPr="005C0ABB">
        <w:rPr>
          <w:rFonts w:ascii="Arial" w:hAnsi="Arial" w:cs="Arial"/>
          <w:sz w:val="24"/>
          <w:szCs w:val="24"/>
        </w:rPr>
        <w:t xml:space="preserve"> Feb. 2005 Dearness Allowance shall be payable on every rise or fall </w:t>
      </w:r>
      <w:r w:rsidR="009D24CE">
        <w:rPr>
          <w:rFonts w:ascii="Arial" w:hAnsi="Arial" w:cs="Arial"/>
          <w:sz w:val="24"/>
          <w:szCs w:val="24"/>
        </w:rPr>
        <w:t xml:space="preserve">of 4 points </w:t>
      </w:r>
      <w:r w:rsidRPr="005C0ABB">
        <w:rPr>
          <w:rFonts w:ascii="Arial" w:hAnsi="Arial" w:cs="Arial"/>
          <w:sz w:val="24"/>
          <w:szCs w:val="24"/>
        </w:rPr>
        <w:t>over 2288 points in the quarterly average of the All India Average Working Class Consumer Index (General) base 1960=100 at 0.18% of Pay”.   The sum and substance of this clause is that from 1</w:t>
      </w:r>
      <w:r w:rsidRPr="005C0ABB">
        <w:rPr>
          <w:rFonts w:ascii="Arial" w:hAnsi="Arial" w:cs="Arial"/>
          <w:sz w:val="24"/>
          <w:szCs w:val="24"/>
          <w:vertAlign w:val="superscript"/>
        </w:rPr>
        <w:t>st</w:t>
      </w:r>
      <w:r w:rsidRPr="005C0ABB">
        <w:rPr>
          <w:rFonts w:ascii="Arial" w:hAnsi="Arial" w:cs="Arial"/>
          <w:sz w:val="24"/>
          <w:szCs w:val="24"/>
        </w:rPr>
        <w:t xml:space="preserve"> Feb. 2005 a clear departure has been made from the Tapered DA Formula to Uniform 100% DA Relief Formula to all and neither the Joint Note nor the Settlement had put any restricted clause that the amendment in DA Formula would not be available to Pre-2002 Retirees.  Until then the Dearness Relief was paid to both Serving Employees and Retired Employees at the same </w:t>
      </w:r>
      <w:r w:rsidR="00E646C8">
        <w:rPr>
          <w:rFonts w:ascii="Arial" w:hAnsi="Arial" w:cs="Arial"/>
          <w:sz w:val="24"/>
          <w:szCs w:val="24"/>
        </w:rPr>
        <w:t>t</w:t>
      </w:r>
      <w:r w:rsidRPr="005C0ABB">
        <w:rPr>
          <w:rFonts w:ascii="Arial" w:hAnsi="Arial" w:cs="Arial"/>
          <w:sz w:val="24"/>
          <w:szCs w:val="24"/>
        </w:rPr>
        <w:t xml:space="preserve">apered rate and in the same way amendment to the Dearness Relief formula also is applicable to all, both Serving and Retired Employees.  Not extending to Pre-2002 Retirees </w:t>
      </w:r>
      <w:r w:rsidR="005C0ABB" w:rsidRPr="005C0ABB">
        <w:rPr>
          <w:rFonts w:ascii="Arial" w:hAnsi="Arial" w:cs="Arial"/>
          <w:sz w:val="24"/>
          <w:szCs w:val="24"/>
        </w:rPr>
        <w:t>is a</w:t>
      </w:r>
      <w:r w:rsidRPr="005C0ABB">
        <w:rPr>
          <w:rFonts w:ascii="Arial" w:hAnsi="Arial" w:cs="Arial"/>
          <w:sz w:val="24"/>
          <w:szCs w:val="24"/>
        </w:rPr>
        <w:t xml:space="preserve"> clear </w:t>
      </w:r>
      <w:r w:rsidR="00DE624D" w:rsidRPr="005C0ABB">
        <w:rPr>
          <w:rFonts w:ascii="Arial" w:hAnsi="Arial" w:cs="Arial"/>
          <w:sz w:val="24"/>
          <w:szCs w:val="24"/>
        </w:rPr>
        <w:t>deviation from</w:t>
      </w:r>
      <w:r w:rsidRPr="005C0ABB">
        <w:rPr>
          <w:rFonts w:ascii="Arial" w:hAnsi="Arial" w:cs="Arial"/>
          <w:sz w:val="24"/>
          <w:szCs w:val="24"/>
        </w:rPr>
        <w:t xml:space="preserve"> the provisions </w:t>
      </w:r>
      <w:r w:rsidR="005C0ABB" w:rsidRPr="005C0ABB">
        <w:rPr>
          <w:rFonts w:ascii="Arial" w:hAnsi="Arial" w:cs="Arial"/>
          <w:sz w:val="24"/>
          <w:szCs w:val="24"/>
        </w:rPr>
        <w:t>of the</w:t>
      </w:r>
      <w:r w:rsidR="00DE624D" w:rsidRPr="005C0ABB">
        <w:rPr>
          <w:rFonts w:ascii="Arial" w:hAnsi="Arial" w:cs="Arial"/>
          <w:sz w:val="24"/>
          <w:szCs w:val="24"/>
        </w:rPr>
        <w:t xml:space="preserve"> </w:t>
      </w:r>
      <w:r w:rsidRPr="005C0ABB">
        <w:rPr>
          <w:rFonts w:ascii="Arial" w:hAnsi="Arial" w:cs="Arial"/>
          <w:sz w:val="24"/>
          <w:szCs w:val="24"/>
        </w:rPr>
        <w:t xml:space="preserve">Joint Note and </w:t>
      </w:r>
      <w:r w:rsidR="00E646C8">
        <w:rPr>
          <w:rFonts w:ascii="Arial" w:hAnsi="Arial" w:cs="Arial"/>
          <w:sz w:val="24"/>
          <w:szCs w:val="24"/>
        </w:rPr>
        <w:t xml:space="preserve">the </w:t>
      </w:r>
      <w:r w:rsidRPr="005C0ABB">
        <w:rPr>
          <w:rFonts w:ascii="Arial" w:hAnsi="Arial" w:cs="Arial"/>
          <w:sz w:val="24"/>
          <w:szCs w:val="24"/>
        </w:rPr>
        <w:t>Settlement in respect of Dearness Relief.</w:t>
      </w:r>
      <w:r w:rsidR="005C0ABB">
        <w:rPr>
          <w:rFonts w:ascii="Arial" w:hAnsi="Arial" w:cs="Arial"/>
          <w:sz w:val="24"/>
          <w:szCs w:val="24"/>
        </w:rPr>
        <w:t xml:space="preserve"> </w:t>
      </w:r>
    </w:p>
    <w:p w:rsidR="00A12904" w:rsidRPr="005C0ABB" w:rsidRDefault="00A12904" w:rsidP="005C0ABB">
      <w:pPr>
        <w:pStyle w:val="ListParagraph"/>
        <w:spacing w:after="0" w:line="240" w:lineRule="auto"/>
        <w:jc w:val="both"/>
        <w:rPr>
          <w:rFonts w:ascii="Arial" w:hAnsi="Arial" w:cs="Arial"/>
          <w:sz w:val="24"/>
          <w:szCs w:val="24"/>
        </w:rPr>
      </w:pPr>
    </w:p>
    <w:p w:rsidR="00A12904" w:rsidRPr="005C0ABB" w:rsidRDefault="00A12904" w:rsidP="005C0ABB">
      <w:pPr>
        <w:pStyle w:val="ListParagraph"/>
        <w:numPr>
          <w:ilvl w:val="0"/>
          <w:numId w:val="1"/>
        </w:numPr>
        <w:spacing w:after="0" w:line="240" w:lineRule="auto"/>
        <w:jc w:val="both"/>
        <w:rPr>
          <w:rFonts w:ascii="Arial" w:hAnsi="Arial" w:cs="Arial"/>
          <w:sz w:val="24"/>
          <w:szCs w:val="24"/>
        </w:rPr>
      </w:pPr>
      <w:r w:rsidRPr="005C0ABB">
        <w:rPr>
          <w:rFonts w:ascii="Arial" w:hAnsi="Arial" w:cs="Arial"/>
          <w:sz w:val="24"/>
          <w:szCs w:val="24"/>
        </w:rPr>
        <w:t>The IBA cannot take shelter under the Hon’ble Supreme Court judgment stating that appeals made by some individual Retirees were dismissed on 01.02.2017.  In fact, the IBA was till now taking a stand that matters that are sub-judice pose a problem to negotiate a settlement and still agreed to consider them as per the Record No</w:t>
      </w:r>
      <w:r w:rsidR="001626DE">
        <w:rPr>
          <w:rFonts w:ascii="Arial" w:hAnsi="Arial" w:cs="Arial"/>
          <w:sz w:val="24"/>
          <w:szCs w:val="24"/>
        </w:rPr>
        <w:t>te signed at the conclusion of 10th</w:t>
      </w:r>
      <w:r w:rsidRPr="005C0ABB">
        <w:rPr>
          <w:rFonts w:ascii="Arial" w:hAnsi="Arial" w:cs="Arial"/>
          <w:sz w:val="24"/>
          <w:szCs w:val="24"/>
        </w:rPr>
        <w:t xml:space="preserve"> Bipartite Settlement and as a consequenc</w:t>
      </w:r>
      <w:r w:rsidR="001626DE">
        <w:rPr>
          <w:rFonts w:ascii="Arial" w:hAnsi="Arial" w:cs="Arial"/>
          <w:sz w:val="24"/>
          <w:szCs w:val="24"/>
        </w:rPr>
        <w:t>e even collected data from all B</w:t>
      </w:r>
      <w:r w:rsidRPr="005C0ABB">
        <w:rPr>
          <w:rFonts w:ascii="Arial" w:hAnsi="Arial" w:cs="Arial"/>
          <w:sz w:val="24"/>
          <w:szCs w:val="24"/>
        </w:rPr>
        <w:t xml:space="preserve">anks. Though we do not want to comment on the Hon’ble Supreme Court order at this juncture, </w:t>
      </w:r>
      <w:r w:rsidR="00E646C8" w:rsidRPr="005C0ABB">
        <w:rPr>
          <w:rFonts w:ascii="Arial" w:hAnsi="Arial" w:cs="Arial"/>
          <w:sz w:val="24"/>
          <w:szCs w:val="24"/>
        </w:rPr>
        <w:t>it</w:t>
      </w:r>
      <w:r w:rsidRPr="005C0ABB">
        <w:rPr>
          <w:rFonts w:ascii="Arial" w:hAnsi="Arial" w:cs="Arial"/>
          <w:sz w:val="24"/>
          <w:szCs w:val="24"/>
        </w:rPr>
        <w:t xml:space="preserve"> is not</w:t>
      </w:r>
      <w:r w:rsidR="00DE624D" w:rsidRPr="005C0ABB">
        <w:rPr>
          <w:rFonts w:ascii="Arial" w:hAnsi="Arial" w:cs="Arial"/>
          <w:sz w:val="24"/>
          <w:szCs w:val="24"/>
        </w:rPr>
        <w:t xml:space="preserve"> appropriate</w:t>
      </w:r>
      <w:r w:rsidRPr="005C0ABB">
        <w:rPr>
          <w:rFonts w:ascii="Arial" w:hAnsi="Arial" w:cs="Arial"/>
          <w:sz w:val="24"/>
          <w:szCs w:val="24"/>
        </w:rPr>
        <w:t xml:space="preserve"> on the part of IBA to drop the issue of 100% DA </w:t>
      </w:r>
      <w:r w:rsidR="001626DE" w:rsidRPr="005C0ABB">
        <w:rPr>
          <w:rFonts w:ascii="Arial" w:hAnsi="Arial" w:cs="Arial"/>
          <w:sz w:val="24"/>
          <w:szCs w:val="24"/>
        </w:rPr>
        <w:t>relief as</w:t>
      </w:r>
      <w:r w:rsidRPr="005C0ABB">
        <w:rPr>
          <w:rFonts w:ascii="Arial" w:hAnsi="Arial" w:cs="Arial"/>
          <w:sz w:val="24"/>
          <w:szCs w:val="24"/>
        </w:rPr>
        <w:t xml:space="preserve"> the petitions were filed by some individual Retirees of different Banks.  The resources of such individuals are limited. </w:t>
      </w:r>
      <w:r w:rsidR="001626DE">
        <w:rPr>
          <w:rFonts w:ascii="Arial" w:hAnsi="Arial" w:cs="Arial"/>
          <w:sz w:val="24"/>
          <w:szCs w:val="24"/>
        </w:rPr>
        <w:t xml:space="preserve"> </w:t>
      </w:r>
      <w:r w:rsidRPr="005C0ABB">
        <w:rPr>
          <w:rFonts w:ascii="Arial" w:hAnsi="Arial" w:cs="Arial"/>
          <w:sz w:val="24"/>
          <w:szCs w:val="24"/>
        </w:rPr>
        <w:t xml:space="preserve">But the Bank Managements have huge resources to fight a long legal battle to frustrate the individual petitioners. However no Apex body of the Retirees had approached the Courts on the issue of 100% DA relief for the simple reason that Apex Retirees Organizations have been engaging themselves in asking and persuading IBA to implement the provisions of the Settlements and Regulations fully and properly.  Even now it is our contention that with the Hon’ble Supreme Court </w:t>
      </w:r>
      <w:r w:rsidR="001626DE" w:rsidRPr="005C0ABB">
        <w:rPr>
          <w:rFonts w:ascii="Arial" w:hAnsi="Arial" w:cs="Arial"/>
          <w:sz w:val="24"/>
          <w:szCs w:val="24"/>
        </w:rPr>
        <w:t>order</w:t>
      </w:r>
      <w:r w:rsidR="001626DE">
        <w:rPr>
          <w:rFonts w:ascii="Arial" w:hAnsi="Arial" w:cs="Arial"/>
          <w:sz w:val="24"/>
          <w:szCs w:val="24"/>
        </w:rPr>
        <w:t xml:space="preserve"> </w:t>
      </w:r>
      <w:r w:rsidR="001626DE" w:rsidRPr="005C0ABB">
        <w:rPr>
          <w:rFonts w:ascii="Arial" w:hAnsi="Arial" w:cs="Arial"/>
          <w:sz w:val="24"/>
          <w:szCs w:val="24"/>
        </w:rPr>
        <w:t>the</w:t>
      </w:r>
      <w:r w:rsidRPr="005C0ABB">
        <w:rPr>
          <w:rFonts w:ascii="Arial" w:hAnsi="Arial" w:cs="Arial"/>
          <w:sz w:val="24"/>
          <w:szCs w:val="24"/>
        </w:rPr>
        <w:t xml:space="preserve"> way is cleared for an amicable and acceptable resolution as per the Provisions of Settlements and Regulations. </w:t>
      </w:r>
    </w:p>
    <w:p w:rsidR="00A12904" w:rsidRPr="005C0ABB" w:rsidRDefault="00A12904" w:rsidP="005C0ABB">
      <w:pPr>
        <w:shd w:val="clear" w:color="auto" w:fill="FFFFFF"/>
        <w:spacing w:after="0" w:line="240" w:lineRule="auto"/>
        <w:ind w:left="360"/>
        <w:jc w:val="both"/>
        <w:rPr>
          <w:rFonts w:ascii="Arial" w:eastAsia="Times New Roman" w:hAnsi="Arial" w:cs="Arial"/>
          <w:color w:val="222222"/>
          <w:sz w:val="24"/>
          <w:szCs w:val="24"/>
        </w:rPr>
      </w:pPr>
    </w:p>
    <w:p w:rsidR="00A12904" w:rsidRPr="005C0ABB" w:rsidRDefault="00A12904" w:rsidP="005C0ABB">
      <w:pPr>
        <w:shd w:val="clear" w:color="auto" w:fill="FFFFFF"/>
        <w:spacing w:after="0" w:line="240" w:lineRule="auto"/>
        <w:ind w:left="450"/>
        <w:jc w:val="both"/>
        <w:rPr>
          <w:rFonts w:ascii="Arial" w:eastAsia="Times New Roman" w:hAnsi="Arial" w:cs="Arial"/>
          <w:color w:val="222222"/>
          <w:sz w:val="24"/>
          <w:szCs w:val="24"/>
        </w:rPr>
      </w:pPr>
      <w:r w:rsidRPr="005C0ABB">
        <w:rPr>
          <w:rFonts w:ascii="Arial" w:eastAsia="Times New Roman" w:hAnsi="Arial" w:cs="Arial"/>
          <w:color w:val="222222"/>
          <w:sz w:val="24"/>
          <w:szCs w:val="24"/>
        </w:rPr>
        <w:t>3&amp; 4.</w:t>
      </w:r>
      <w:r w:rsidR="005C0ABB">
        <w:rPr>
          <w:rFonts w:ascii="Arial" w:eastAsia="Times New Roman" w:hAnsi="Arial" w:cs="Arial"/>
          <w:color w:val="222222"/>
          <w:sz w:val="24"/>
          <w:szCs w:val="24"/>
        </w:rPr>
        <w:t xml:space="preserve"> </w:t>
      </w:r>
      <w:r w:rsidRPr="005C0ABB">
        <w:rPr>
          <w:rFonts w:ascii="Arial" w:eastAsia="Times New Roman" w:hAnsi="Arial" w:cs="Arial"/>
          <w:color w:val="222222"/>
          <w:sz w:val="24"/>
          <w:szCs w:val="24"/>
        </w:rPr>
        <w:t xml:space="preserve"> IBA’s submission in their letter citing Union Bank of India v/s S.R.Dhingra </w:t>
      </w:r>
      <w:r w:rsidR="005C0ABB">
        <w:rPr>
          <w:rFonts w:ascii="Arial" w:eastAsia="Times New Roman" w:hAnsi="Arial" w:cs="Arial"/>
          <w:color w:val="222222"/>
          <w:sz w:val="24"/>
          <w:szCs w:val="24"/>
        </w:rPr>
        <w:t xml:space="preserve">                                 and </w:t>
      </w:r>
      <w:r w:rsidRPr="005C0ABB">
        <w:rPr>
          <w:rFonts w:ascii="Arial" w:eastAsia="Times New Roman" w:hAnsi="Arial" w:cs="Arial"/>
          <w:color w:val="222222"/>
          <w:sz w:val="24"/>
          <w:szCs w:val="24"/>
        </w:rPr>
        <w:t>others and State of Punjab and others v/s Amar Nath Goel and others  are irrelevant  and out of context for the following reasons:</w:t>
      </w:r>
    </w:p>
    <w:p w:rsidR="00A12904" w:rsidRPr="005C0ABB" w:rsidRDefault="00A12904" w:rsidP="005C0ABB">
      <w:pPr>
        <w:shd w:val="clear" w:color="auto" w:fill="FFFFFF"/>
        <w:spacing w:after="0" w:line="240" w:lineRule="auto"/>
        <w:ind w:left="360"/>
        <w:jc w:val="both"/>
        <w:rPr>
          <w:rFonts w:ascii="Arial" w:eastAsia="Times New Roman" w:hAnsi="Arial" w:cs="Arial"/>
          <w:color w:val="222222"/>
          <w:sz w:val="24"/>
          <w:szCs w:val="24"/>
        </w:rPr>
      </w:pPr>
    </w:p>
    <w:p w:rsidR="00A12904" w:rsidRPr="005C0ABB" w:rsidRDefault="00A12904" w:rsidP="005C0ABB">
      <w:pPr>
        <w:pStyle w:val="ListParagraph"/>
        <w:shd w:val="clear" w:color="auto" w:fill="FFFFFF"/>
        <w:spacing w:after="0" w:line="240" w:lineRule="auto"/>
        <w:jc w:val="both"/>
        <w:rPr>
          <w:rFonts w:ascii="Arial" w:eastAsia="Times New Roman" w:hAnsi="Arial" w:cs="Arial"/>
          <w:color w:val="222222"/>
          <w:sz w:val="24"/>
          <w:szCs w:val="24"/>
        </w:rPr>
      </w:pPr>
      <w:r w:rsidRPr="005C0ABB">
        <w:rPr>
          <w:rFonts w:ascii="Arial" w:eastAsia="Times New Roman" w:hAnsi="Arial" w:cs="Arial"/>
          <w:color w:val="222222"/>
          <w:sz w:val="24"/>
          <w:szCs w:val="24"/>
        </w:rPr>
        <w:t xml:space="preserve">D.S.Nakara's judgment was delivered by 5 </w:t>
      </w:r>
      <w:r w:rsidR="00E646C8">
        <w:rPr>
          <w:rFonts w:ascii="Arial" w:eastAsia="Times New Roman" w:hAnsi="Arial" w:cs="Arial"/>
          <w:color w:val="222222"/>
          <w:sz w:val="24"/>
          <w:szCs w:val="24"/>
        </w:rPr>
        <w:t>Judge</w:t>
      </w:r>
      <w:r w:rsidRPr="005C0ABB">
        <w:rPr>
          <w:rFonts w:ascii="Arial" w:eastAsia="Times New Roman" w:hAnsi="Arial" w:cs="Arial"/>
          <w:color w:val="222222"/>
          <w:sz w:val="24"/>
          <w:szCs w:val="24"/>
        </w:rPr>
        <w:t xml:space="preserve"> Constitutio</w:t>
      </w:r>
      <w:r w:rsidR="001626DE">
        <w:rPr>
          <w:rFonts w:ascii="Arial" w:eastAsia="Times New Roman" w:hAnsi="Arial" w:cs="Arial"/>
          <w:color w:val="222222"/>
          <w:sz w:val="24"/>
          <w:szCs w:val="24"/>
        </w:rPr>
        <w:t>n B</w:t>
      </w:r>
      <w:r w:rsidRPr="005C0ABB">
        <w:rPr>
          <w:rFonts w:ascii="Arial" w:eastAsia="Times New Roman" w:hAnsi="Arial" w:cs="Arial"/>
          <w:color w:val="222222"/>
          <w:sz w:val="24"/>
          <w:szCs w:val="24"/>
        </w:rPr>
        <w:t xml:space="preserve">ench and </w:t>
      </w:r>
      <w:r w:rsidR="00881D5D">
        <w:rPr>
          <w:rFonts w:ascii="Arial" w:eastAsia="Times New Roman" w:hAnsi="Arial" w:cs="Arial"/>
          <w:color w:val="222222"/>
          <w:sz w:val="24"/>
          <w:szCs w:val="24"/>
        </w:rPr>
        <w:t>it was never over ruled by any Bench. Otherwise too, no two Judge B</w:t>
      </w:r>
      <w:r w:rsidRPr="005C0ABB">
        <w:rPr>
          <w:rFonts w:ascii="Arial" w:eastAsia="Times New Roman" w:hAnsi="Arial" w:cs="Arial"/>
          <w:color w:val="222222"/>
          <w:sz w:val="24"/>
          <w:szCs w:val="24"/>
        </w:rPr>
        <w:t>ench could over rule it. There are only some interpretations flowing from the ratio of Nakara's judgment</w:t>
      </w:r>
      <w:r w:rsidR="00881D5D">
        <w:rPr>
          <w:rFonts w:ascii="Arial" w:eastAsia="Times New Roman" w:hAnsi="Arial" w:cs="Arial"/>
          <w:color w:val="222222"/>
          <w:sz w:val="24"/>
          <w:szCs w:val="24"/>
        </w:rPr>
        <w:t xml:space="preserve"> </w:t>
      </w:r>
      <w:r w:rsidRPr="005C0ABB">
        <w:rPr>
          <w:rFonts w:ascii="Arial" w:eastAsia="Times New Roman" w:hAnsi="Arial" w:cs="Arial"/>
          <w:color w:val="222222"/>
          <w:sz w:val="24"/>
          <w:szCs w:val="24"/>
        </w:rPr>
        <w:t>- One is that there can be a cut-off date to become </w:t>
      </w:r>
      <w:r w:rsidRPr="005C0ABB">
        <w:rPr>
          <w:rFonts w:ascii="Arial" w:eastAsia="Times New Roman" w:hAnsi="Arial" w:cs="Arial"/>
          <w:bCs/>
          <w:color w:val="222222"/>
          <w:sz w:val="24"/>
          <w:szCs w:val="24"/>
          <w:u w:val="single"/>
        </w:rPr>
        <w:t>eligible to join a scheme</w:t>
      </w:r>
      <w:r w:rsidRPr="005C0ABB">
        <w:rPr>
          <w:rFonts w:ascii="Arial" w:eastAsia="Times New Roman" w:hAnsi="Arial" w:cs="Arial"/>
          <w:color w:val="222222"/>
          <w:sz w:val="24"/>
          <w:szCs w:val="24"/>
        </w:rPr>
        <w:t xml:space="preserve"> and financial implication can be a reason to fix such cut off dates. </w:t>
      </w:r>
      <w:r w:rsidR="00BD6D38">
        <w:rPr>
          <w:rFonts w:ascii="Arial" w:hAnsi="Arial" w:cs="Arial"/>
          <w:b/>
          <w:color w:val="222222"/>
          <w:sz w:val="24"/>
          <w:szCs w:val="24"/>
          <w:shd w:val="clear" w:color="auto" w:fill="FFFFFF"/>
        </w:rPr>
        <w:t>State of Punjab v/</w:t>
      </w:r>
      <w:r w:rsidRPr="00881D5D">
        <w:rPr>
          <w:rFonts w:ascii="Arial" w:hAnsi="Arial" w:cs="Arial"/>
          <w:b/>
          <w:color w:val="222222"/>
          <w:sz w:val="24"/>
          <w:szCs w:val="24"/>
          <w:shd w:val="clear" w:color="auto" w:fill="FFFFFF"/>
        </w:rPr>
        <w:t>s. Amar Nath Goel</w:t>
      </w:r>
      <w:r w:rsidRPr="00881D5D">
        <w:rPr>
          <w:rStyle w:val="apple-converted-space"/>
          <w:rFonts w:ascii="Arial" w:hAnsi="Arial" w:cs="Arial"/>
          <w:b/>
          <w:color w:val="222222"/>
          <w:sz w:val="24"/>
          <w:szCs w:val="24"/>
          <w:shd w:val="clear" w:color="auto" w:fill="FFFFFF"/>
        </w:rPr>
        <w:t> </w:t>
      </w:r>
      <w:r w:rsidRPr="005C0ABB">
        <w:rPr>
          <w:rFonts w:ascii="Arial" w:eastAsia="Times New Roman" w:hAnsi="Arial" w:cs="Arial"/>
          <w:color w:val="222222"/>
          <w:sz w:val="24"/>
          <w:szCs w:val="24"/>
        </w:rPr>
        <w:t xml:space="preserve">case is about this only. </w:t>
      </w:r>
      <w:r w:rsidR="00BD6D38" w:rsidRPr="005C0ABB">
        <w:rPr>
          <w:rFonts w:ascii="Arial" w:eastAsia="Times New Roman" w:hAnsi="Arial" w:cs="Arial"/>
          <w:color w:val="222222"/>
          <w:sz w:val="24"/>
          <w:szCs w:val="24"/>
        </w:rPr>
        <w:t>–</w:t>
      </w:r>
      <w:r w:rsidR="00BD6D38">
        <w:rPr>
          <w:rFonts w:ascii="Arial" w:eastAsia="Times New Roman" w:hAnsi="Arial" w:cs="Arial"/>
          <w:color w:val="222222"/>
          <w:sz w:val="24"/>
          <w:szCs w:val="24"/>
        </w:rPr>
        <w:t xml:space="preserve"> E.g. our own Pension S</w:t>
      </w:r>
      <w:r w:rsidRPr="005C0ABB">
        <w:rPr>
          <w:rFonts w:ascii="Arial" w:eastAsia="Times New Roman" w:hAnsi="Arial" w:cs="Arial"/>
          <w:color w:val="222222"/>
          <w:sz w:val="24"/>
          <w:szCs w:val="24"/>
        </w:rPr>
        <w:t>cheme that extended pension only to those who retired on or after 1/1/1986. </w:t>
      </w:r>
      <w:r w:rsidR="00881D5D">
        <w:rPr>
          <w:rFonts w:ascii="Arial" w:eastAsia="Times New Roman" w:hAnsi="Arial" w:cs="Arial"/>
          <w:color w:val="222222"/>
          <w:sz w:val="24"/>
          <w:szCs w:val="24"/>
        </w:rPr>
        <w:t xml:space="preserve"> </w:t>
      </w:r>
      <w:r w:rsidRPr="005C0ABB">
        <w:rPr>
          <w:rFonts w:ascii="Arial" w:eastAsia="Times New Roman" w:hAnsi="Arial" w:cs="Arial"/>
          <w:bCs/>
          <w:iCs/>
          <w:color w:val="222222"/>
          <w:sz w:val="24"/>
          <w:szCs w:val="24"/>
          <w:u w:val="single"/>
        </w:rPr>
        <w:t>For eligibility to become a member of a scheme ( in other words to start a scheme) there can be cut off dates based on date of retirement due to financial implications. B</w:t>
      </w:r>
      <w:r w:rsidR="00881D5D">
        <w:rPr>
          <w:rFonts w:ascii="Arial" w:eastAsia="Times New Roman" w:hAnsi="Arial" w:cs="Arial"/>
          <w:bCs/>
          <w:iCs/>
          <w:color w:val="222222"/>
          <w:sz w:val="24"/>
          <w:szCs w:val="24"/>
          <w:u w:val="single"/>
        </w:rPr>
        <w:t>ut once you become a member of Pension S</w:t>
      </w:r>
      <w:r w:rsidRPr="005C0ABB">
        <w:rPr>
          <w:rFonts w:ascii="Arial" w:eastAsia="Times New Roman" w:hAnsi="Arial" w:cs="Arial"/>
          <w:bCs/>
          <w:iCs/>
          <w:color w:val="222222"/>
          <w:sz w:val="24"/>
          <w:szCs w:val="24"/>
          <w:u w:val="single"/>
        </w:rPr>
        <w:t>cheme you become a member of a homogenous group in which there can be no discrimination.</w:t>
      </w:r>
    </w:p>
    <w:p w:rsidR="00A12904" w:rsidRPr="005C0ABB" w:rsidRDefault="00A12904" w:rsidP="005C0ABB">
      <w:pPr>
        <w:shd w:val="clear" w:color="auto" w:fill="FFFFFF"/>
        <w:spacing w:after="0" w:line="240" w:lineRule="auto"/>
        <w:ind w:left="360"/>
        <w:jc w:val="both"/>
        <w:rPr>
          <w:rFonts w:ascii="Arial" w:eastAsia="Times New Roman" w:hAnsi="Arial" w:cs="Arial"/>
          <w:color w:val="222222"/>
          <w:sz w:val="24"/>
          <w:szCs w:val="24"/>
        </w:rPr>
      </w:pPr>
    </w:p>
    <w:p w:rsidR="00A12904" w:rsidRPr="005C0ABB" w:rsidRDefault="00A12904" w:rsidP="005C0ABB">
      <w:pPr>
        <w:shd w:val="clear" w:color="auto" w:fill="FFFFFF"/>
        <w:spacing w:after="0" w:line="240" w:lineRule="auto"/>
        <w:ind w:left="720"/>
        <w:jc w:val="both"/>
        <w:rPr>
          <w:rFonts w:ascii="Arial" w:eastAsia="Times New Roman" w:hAnsi="Arial" w:cs="Arial"/>
          <w:color w:val="222222"/>
          <w:sz w:val="24"/>
          <w:szCs w:val="24"/>
        </w:rPr>
      </w:pPr>
      <w:r w:rsidRPr="005C0ABB">
        <w:rPr>
          <w:rFonts w:ascii="Arial" w:hAnsi="Arial" w:cs="Arial"/>
          <w:b/>
          <w:color w:val="222222"/>
          <w:sz w:val="24"/>
          <w:szCs w:val="24"/>
          <w:shd w:val="clear" w:color="auto" w:fill="FFFFFF"/>
        </w:rPr>
        <w:t>Union Bank of India v</w:t>
      </w:r>
      <w:r w:rsidR="00BD6D38">
        <w:rPr>
          <w:rFonts w:ascii="Arial" w:hAnsi="Arial" w:cs="Arial"/>
          <w:b/>
          <w:color w:val="222222"/>
          <w:sz w:val="24"/>
          <w:szCs w:val="24"/>
          <w:shd w:val="clear" w:color="auto" w:fill="FFFFFF"/>
        </w:rPr>
        <w:t>/</w:t>
      </w:r>
      <w:r w:rsidR="00E646C8">
        <w:rPr>
          <w:rFonts w:ascii="Arial" w:hAnsi="Arial" w:cs="Arial"/>
          <w:b/>
          <w:color w:val="222222"/>
          <w:sz w:val="24"/>
          <w:szCs w:val="24"/>
          <w:shd w:val="clear" w:color="auto" w:fill="FFFFFF"/>
        </w:rPr>
        <w:t>s</w:t>
      </w:r>
      <w:r w:rsidRPr="005C0ABB">
        <w:rPr>
          <w:rFonts w:ascii="Arial" w:hAnsi="Arial" w:cs="Arial"/>
          <w:b/>
          <w:color w:val="222222"/>
          <w:sz w:val="24"/>
          <w:szCs w:val="24"/>
          <w:shd w:val="clear" w:color="auto" w:fill="FFFFFF"/>
        </w:rPr>
        <w:t xml:space="preserve"> S.R.Dhingra</w:t>
      </w:r>
      <w:r w:rsidRPr="005C0ABB">
        <w:rPr>
          <w:rFonts w:ascii="Arial" w:hAnsi="Arial" w:cs="Arial"/>
          <w:color w:val="222222"/>
          <w:sz w:val="24"/>
          <w:szCs w:val="24"/>
          <w:shd w:val="clear" w:color="auto" w:fill="FFFFFF"/>
        </w:rPr>
        <w:t xml:space="preserve"> cite</w:t>
      </w:r>
      <w:r w:rsidR="005C0ABB">
        <w:rPr>
          <w:rFonts w:ascii="Arial" w:hAnsi="Arial" w:cs="Arial"/>
          <w:color w:val="222222"/>
          <w:sz w:val="24"/>
          <w:szCs w:val="24"/>
          <w:shd w:val="clear" w:color="auto" w:fill="FFFFFF"/>
        </w:rPr>
        <w:t xml:space="preserve">s an earlier </w:t>
      </w:r>
      <w:r w:rsidR="00881D5D">
        <w:rPr>
          <w:rFonts w:ascii="Arial" w:hAnsi="Arial" w:cs="Arial"/>
          <w:color w:val="222222"/>
          <w:sz w:val="24"/>
          <w:szCs w:val="24"/>
          <w:shd w:val="clear" w:color="auto" w:fill="FFFFFF"/>
        </w:rPr>
        <w:t xml:space="preserve">Hon’ble </w:t>
      </w:r>
      <w:r w:rsidR="005C0ABB">
        <w:rPr>
          <w:rFonts w:ascii="Arial" w:hAnsi="Arial" w:cs="Arial"/>
          <w:color w:val="222222"/>
          <w:sz w:val="24"/>
          <w:szCs w:val="24"/>
          <w:shd w:val="clear" w:color="auto" w:fill="FFFFFF"/>
        </w:rPr>
        <w:t>Supreme Court judg</w:t>
      </w:r>
      <w:r w:rsidRPr="005C0ABB">
        <w:rPr>
          <w:rFonts w:ascii="Arial" w:hAnsi="Arial" w:cs="Arial"/>
          <w:color w:val="222222"/>
          <w:sz w:val="24"/>
          <w:szCs w:val="24"/>
          <w:shd w:val="clear" w:color="auto" w:fill="FFFFFF"/>
        </w:rPr>
        <w:t>ment of Railway Drivers allowance</w:t>
      </w:r>
      <w:r w:rsidRPr="005C0ABB">
        <w:rPr>
          <w:rStyle w:val="apple-converted-space"/>
          <w:rFonts w:ascii="Arial" w:hAnsi="Arial" w:cs="Arial"/>
          <w:color w:val="222222"/>
          <w:sz w:val="24"/>
          <w:szCs w:val="24"/>
          <w:shd w:val="clear" w:color="auto" w:fill="FFFFFF"/>
        </w:rPr>
        <w:t xml:space="preserve">. </w:t>
      </w:r>
      <w:r w:rsidR="00881D5D">
        <w:rPr>
          <w:rStyle w:val="apple-converted-space"/>
          <w:rFonts w:ascii="Arial" w:hAnsi="Arial" w:cs="Arial"/>
          <w:color w:val="222222"/>
          <w:sz w:val="24"/>
          <w:szCs w:val="24"/>
          <w:shd w:val="clear" w:color="auto" w:fill="FFFFFF"/>
        </w:rPr>
        <w:t xml:space="preserve"> </w:t>
      </w:r>
      <w:r w:rsidRPr="005C0ABB">
        <w:rPr>
          <w:rFonts w:ascii="Arial" w:eastAsia="Times New Roman" w:hAnsi="Arial" w:cs="Arial"/>
          <w:color w:val="222222"/>
          <w:sz w:val="24"/>
          <w:szCs w:val="24"/>
        </w:rPr>
        <w:t xml:space="preserve">It is about praying for an allowance that was introduced </w:t>
      </w:r>
      <w:r w:rsidR="00881D5D">
        <w:rPr>
          <w:rFonts w:ascii="Arial" w:eastAsia="Times New Roman" w:hAnsi="Arial" w:cs="Arial"/>
          <w:color w:val="222222"/>
          <w:sz w:val="24"/>
          <w:szCs w:val="24"/>
        </w:rPr>
        <w:t>and reckoned for P</w:t>
      </w:r>
      <w:r w:rsidRPr="005C0ABB">
        <w:rPr>
          <w:rFonts w:ascii="Arial" w:eastAsia="Times New Roman" w:hAnsi="Arial" w:cs="Arial"/>
          <w:color w:val="222222"/>
          <w:sz w:val="24"/>
          <w:szCs w:val="24"/>
        </w:rPr>
        <w:t xml:space="preserve">ension subsequent to the petitioners' retirement. </w:t>
      </w:r>
      <w:r w:rsidR="00881D5D">
        <w:rPr>
          <w:rFonts w:ascii="Arial" w:eastAsia="Times New Roman" w:hAnsi="Arial" w:cs="Arial"/>
          <w:color w:val="222222"/>
          <w:sz w:val="24"/>
          <w:szCs w:val="24"/>
        </w:rPr>
        <w:t xml:space="preserve"> </w:t>
      </w:r>
      <w:r w:rsidRPr="005C0ABB">
        <w:rPr>
          <w:rFonts w:ascii="Arial" w:eastAsia="Times New Roman" w:hAnsi="Arial" w:cs="Arial"/>
          <w:color w:val="222222"/>
          <w:sz w:val="24"/>
          <w:szCs w:val="24"/>
        </w:rPr>
        <w:t>D.S.Nakara is about cha</w:t>
      </w:r>
      <w:r w:rsidR="00881D5D">
        <w:rPr>
          <w:rFonts w:ascii="Arial" w:eastAsia="Times New Roman" w:hAnsi="Arial" w:cs="Arial"/>
          <w:color w:val="222222"/>
          <w:sz w:val="24"/>
          <w:szCs w:val="24"/>
        </w:rPr>
        <w:t>nge in any existing formula of P</w:t>
      </w:r>
      <w:r w:rsidRPr="005C0ABB">
        <w:rPr>
          <w:rFonts w:ascii="Arial" w:eastAsia="Times New Roman" w:hAnsi="Arial" w:cs="Arial"/>
          <w:color w:val="222222"/>
          <w:sz w:val="24"/>
          <w:szCs w:val="24"/>
        </w:rPr>
        <w:t>ension</w:t>
      </w:r>
      <w:r w:rsidR="00881D5D">
        <w:rPr>
          <w:rFonts w:ascii="Arial" w:eastAsia="Times New Roman" w:hAnsi="Arial" w:cs="Arial"/>
          <w:color w:val="222222"/>
          <w:sz w:val="24"/>
          <w:szCs w:val="24"/>
        </w:rPr>
        <w:t xml:space="preserve"> B</w:t>
      </w:r>
      <w:r w:rsidRPr="005C0ABB">
        <w:rPr>
          <w:rFonts w:ascii="Arial" w:eastAsia="Times New Roman" w:hAnsi="Arial" w:cs="Arial"/>
          <w:color w:val="222222"/>
          <w:sz w:val="24"/>
          <w:szCs w:val="24"/>
        </w:rPr>
        <w:t xml:space="preserve">enefits that is an improvement over the old formula. </w:t>
      </w:r>
      <w:r w:rsidRPr="005C0ABB">
        <w:rPr>
          <w:rFonts w:ascii="Arial" w:hAnsi="Arial" w:cs="Arial"/>
          <w:color w:val="222222"/>
          <w:sz w:val="24"/>
          <w:szCs w:val="24"/>
          <w:shd w:val="clear" w:color="auto" w:fill="FFFFFF"/>
        </w:rPr>
        <w:t>Nakara is about change in formula of computing pensionary benefits.</w:t>
      </w:r>
      <w:r w:rsidR="005C0ABB" w:rsidRPr="005C0ABB">
        <w:rPr>
          <w:rFonts w:ascii="Arial" w:hAnsi="Arial" w:cs="Arial"/>
          <w:color w:val="222222"/>
          <w:sz w:val="24"/>
          <w:szCs w:val="24"/>
          <w:shd w:val="clear" w:color="auto" w:fill="FFFFFF"/>
        </w:rPr>
        <w:t xml:space="preserve"> </w:t>
      </w:r>
      <w:r w:rsidR="005C0ABB">
        <w:rPr>
          <w:rFonts w:ascii="Arial" w:hAnsi="Arial" w:cs="Arial"/>
          <w:i/>
          <w:color w:val="222222"/>
          <w:sz w:val="24"/>
          <w:szCs w:val="24"/>
          <w:shd w:val="clear" w:color="auto" w:fill="FFFFFF"/>
        </w:rPr>
        <w:t xml:space="preserve"> </w:t>
      </w:r>
      <w:r w:rsidRPr="005C0ABB">
        <w:rPr>
          <w:rFonts w:ascii="Arial" w:hAnsi="Arial" w:cs="Arial"/>
          <w:color w:val="222222"/>
          <w:sz w:val="24"/>
          <w:szCs w:val="24"/>
          <w:shd w:val="clear" w:color="auto" w:fill="FFFFFF"/>
        </w:rPr>
        <w:t xml:space="preserve">Neither DA on Basic Pension </w:t>
      </w:r>
      <w:r w:rsidR="005C0ABB" w:rsidRPr="005C0ABB">
        <w:rPr>
          <w:rFonts w:ascii="Arial" w:hAnsi="Arial" w:cs="Arial"/>
          <w:color w:val="222222"/>
          <w:sz w:val="24"/>
          <w:szCs w:val="24"/>
          <w:shd w:val="clear" w:color="auto" w:fill="FFFFFF"/>
        </w:rPr>
        <w:t>nor 100</w:t>
      </w:r>
      <w:r w:rsidRPr="005C0ABB">
        <w:rPr>
          <w:rFonts w:ascii="Arial" w:hAnsi="Arial" w:cs="Arial"/>
          <w:color w:val="222222"/>
          <w:sz w:val="24"/>
          <w:szCs w:val="24"/>
          <w:shd w:val="clear" w:color="auto" w:fill="FFFFFF"/>
        </w:rPr>
        <w:t>% DA on Basic Pension is new t</w:t>
      </w:r>
      <w:r w:rsidR="00881D5D">
        <w:rPr>
          <w:rFonts w:ascii="Arial" w:hAnsi="Arial" w:cs="Arial"/>
          <w:color w:val="222222"/>
          <w:sz w:val="24"/>
          <w:szCs w:val="24"/>
          <w:shd w:val="clear" w:color="auto" w:fill="FFFFFF"/>
        </w:rPr>
        <w:t>o Bank Pensioners.  Every Bank P</w:t>
      </w:r>
      <w:r w:rsidRPr="005C0ABB">
        <w:rPr>
          <w:rFonts w:ascii="Arial" w:hAnsi="Arial" w:cs="Arial"/>
          <w:color w:val="222222"/>
          <w:sz w:val="24"/>
          <w:szCs w:val="24"/>
          <w:shd w:val="clear" w:color="auto" w:fill="FFFFFF"/>
        </w:rPr>
        <w:t xml:space="preserve">ensioner </w:t>
      </w:r>
      <w:r w:rsidRPr="005C0ABB">
        <w:rPr>
          <w:rFonts w:ascii="Arial" w:hAnsi="Arial" w:cs="Arial"/>
          <w:color w:val="222222"/>
          <w:sz w:val="24"/>
          <w:szCs w:val="24"/>
          <w:shd w:val="clear" w:color="auto" w:fill="FFFFFF"/>
        </w:rPr>
        <w:lastRenderedPageBreak/>
        <w:t>was getting 100% DA but only up</w:t>
      </w:r>
      <w:r w:rsidR="005C0ABB">
        <w:rPr>
          <w:rFonts w:ascii="Arial" w:hAnsi="Arial" w:cs="Arial"/>
          <w:color w:val="222222"/>
          <w:sz w:val="24"/>
          <w:szCs w:val="24"/>
          <w:shd w:val="clear" w:color="auto" w:fill="FFFFFF"/>
        </w:rPr>
        <w:t xml:space="preserve"> </w:t>
      </w:r>
      <w:r w:rsidRPr="005C0ABB">
        <w:rPr>
          <w:rFonts w:ascii="Arial" w:hAnsi="Arial" w:cs="Arial"/>
          <w:color w:val="222222"/>
          <w:sz w:val="24"/>
          <w:szCs w:val="24"/>
          <w:shd w:val="clear" w:color="auto" w:fill="FFFFFF"/>
        </w:rPr>
        <w:t xml:space="preserve">to a part </w:t>
      </w:r>
      <w:r w:rsidR="00881D5D" w:rsidRPr="005C0ABB">
        <w:rPr>
          <w:rFonts w:ascii="Arial" w:hAnsi="Arial" w:cs="Arial"/>
          <w:color w:val="222222"/>
          <w:sz w:val="24"/>
          <w:szCs w:val="24"/>
          <w:shd w:val="clear" w:color="auto" w:fill="FFFFFF"/>
        </w:rPr>
        <w:t>of the</w:t>
      </w:r>
      <w:r w:rsidRPr="005C0ABB">
        <w:rPr>
          <w:rFonts w:ascii="Arial" w:hAnsi="Arial" w:cs="Arial"/>
          <w:color w:val="222222"/>
          <w:sz w:val="24"/>
          <w:szCs w:val="24"/>
          <w:shd w:val="clear" w:color="auto" w:fill="FFFFFF"/>
        </w:rPr>
        <w:t xml:space="preserve"> Basic Pension and the DA tapers down from 100% for the balance portion of Basic Pension. This was changed in 2005 under 8</w:t>
      </w:r>
      <w:r w:rsidRPr="005C0ABB">
        <w:rPr>
          <w:rFonts w:ascii="Arial" w:hAnsi="Arial" w:cs="Arial"/>
          <w:color w:val="222222"/>
          <w:sz w:val="24"/>
          <w:szCs w:val="24"/>
          <w:shd w:val="clear" w:color="auto" w:fill="FFFFFF"/>
          <w:vertAlign w:val="superscript"/>
        </w:rPr>
        <w:t>th</w:t>
      </w:r>
      <w:r w:rsidRPr="005C0ABB">
        <w:rPr>
          <w:rFonts w:ascii="Arial" w:hAnsi="Arial" w:cs="Arial"/>
          <w:color w:val="222222"/>
          <w:sz w:val="24"/>
          <w:szCs w:val="24"/>
          <w:shd w:val="clear" w:color="auto" w:fill="FFFFFF"/>
        </w:rPr>
        <w:t xml:space="preserve"> Bipartite Settlement whereby those who retired before 31/10/2002 and after 31/10/2002 both should have got the benefit of Uniform 100% DA for the full Basic Pension and not for a part of the Basic Pension. This is only an improvement in the formula of DA relief on Pension and hence </w:t>
      </w:r>
      <w:r w:rsidR="005C0ABB" w:rsidRPr="005C0ABB">
        <w:rPr>
          <w:rFonts w:ascii="Arial" w:hAnsi="Arial" w:cs="Arial"/>
          <w:color w:val="222222"/>
          <w:sz w:val="24"/>
          <w:szCs w:val="24"/>
          <w:shd w:val="clear" w:color="auto" w:fill="FFFFFF"/>
        </w:rPr>
        <w:t>Nakara Judgment</w:t>
      </w:r>
      <w:r w:rsidRPr="005C0ABB">
        <w:rPr>
          <w:rFonts w:ascii="Arial" w:hAnsi="Arial" w:cs="Arial"/>
          <w:color w:val="222222"/>
          <w:sz w:val="24"/>
          <w:szCs w:val="24"/>
          <w:shd w:val="clear" w:color="auto" w:fill="FFFFFF"/>
        </w:rPr>
        <w:t xml:space="preserve"> is applicable. </w:t>
      </w:r>
    </w:p>
    <w:p w:rsidR="00A12904" w:rsidRPr="005C0ABB" w:rsidRDefault="00A12904" w:rsidP="005C0ABB">
      <w:pPr>
        <w:shd w:val="clear" w:color="auto" w:fill="FFFFFF"/>
        <w:spacing w:after="0" w:line="240" w:lineRule="auto"/>
        <w:ind w:left="720"/>
        <w:jc w:val="both"/>
        <w:rPr>
          <w:rFonts w:ascii="Arial" w:eastAsia="Times New Roman" w:hAnsi="Arial" w:cs="Arial"/>
          <w:color w:val="222222"/>
          <w:sz w:val="24"/>
          <w:szCs w:val="24"/>
        </w:rPr>
      </w:pPr>
    </w:p>
    <w:p w:rsidR="00A12904" w:rsidRPr="00592DAC" w:rsidRDefault="00A12904" w:rsidP="005C0ABB">
      <w:pPr>
        <w:shd w:val="clear" w:color="auto" w:fill="FFFFFF"/>
        <w:spacing w:after="0" w:line="240" w:lineRule="auto"/>
        <w:ind w:left="720"/>
        <w:jc w:val="both"/>
        <w:rPr>
          <w:rFonts w:ascii="Arial" w:hAnsi="Arial" w:cs="Arial"/>
          <w:color w:val="222222"/>
          <w:sz w:val="24"/>
          <w:szCs w:val="24"/>
          <w:shd w:val="clear" w:color="auto" w:fill="FFFFFF"/>
        </w:rPr>
      </w:pPr>
      <w:r w:rsidRPr="00592DAC">
        <w:rPr>
          <w:rFonts w:ascii="Arial" w:hAnsi="Arial" w:cs="Arial"/>
          <w:b/>
          <w:color w:val="222222"/>
          <w:sz w:val="24"/>
          <w:szCs w:val="24"/>
          <w:shd w:val="clear" w:color="auto" w:fill="FFFFFF"/>
        </w:rPr>
        <w:t>Oriental Bank Retired Officers Association v/s Union of India and others</w:t>
      </w:r>
      <w:r w:rsidRPr="005C0ABB">
        <w:rPr>
          <w:rFonts w:ascii="Arial" w:hAnsi="Arial" w:cs="Arial"/>
          <w:color w:val="222222"/>
          <w:sz w:val="24"/>
          <w:szCs w:val="24"/>
          <w:shd w:val="clear" w:color="auto" w:fill="FFFFFF"/>
        </w:rPr>
        <w:t xml:space="preserve"> in respect </w:t>
      </w:r>
      <w:r w:rsidR="00592DAC" w:rsidRPr="005C0ABB">
        <w:rPr>
          <w:rFonts w:ascii="Arial" w:hAnsi="Arial" w:cs="Arial"/>
          <w:color w:val="222222"/>
          <w:sz w:val="24"/>
          <w:szCs w:val="24"/>
          <w:shd w:val="clear" w:color="auto" w:fill="FFFFFF"/>
        </w:rPr>
        <w:t>of minutes</w:t>
      </w:r>
      <w:r w:rsidRPr="005C0ABB">
        <w:rPr>
          <w:rFonts w:ascii="Arial" w:hAnsi="Arial" w:cs="Arial"/>
          <w:color w:val="222222"/>
          <w:sz w:val="24"/>
          <w:szCs w:val="24"/>
          <w:shd w:val="clear" w:color="auto" w:fill="FFFFFF"/>
        </w:rPr>
        <w:t xml:space="preserve"> of the meeting is also not relevant.  </w:t>
      </w:r>
      <w:r w:rsidRPr="005C0ABB">
        <w:rPr>
          <w:rFonts w:ascii="Arial" w:hAnsi="Arial" w:cs="Arial"/>
          <w:b/>
          <w:color w:val="222222"/>
          <w:sz w:val="24"/>
          <w:szCs w:val="24"/>
          <w:u w:val="single"/>
          <w:shd w:val="clear" w:color="auto" w:fill="FFFFFF"/>
        </w:rPr>
        <w:t>There is a settlement on DA which Hon’ble  Kolkata High Court held as binding</w:t>
      </w:r>
      <w:r w:rsidRPr="005C0ABB">
        <w:rPr>
          <w:rFonts w:ascii="Arial" w:hAnsi="Arial" w:cs="Arial"/>
          <w:i/>
          <w:color w:val="222222"/>
          <w:sz w:val="24"/>
          <w:szCs w:val="24"/>
          <w:u w:val="single"/>
          <w:shd w:val="clear" w:color="auto" w:fill="FFFFFF"/>
        </w:rPr>
        <w:t>.</w:t>
      </w:r>
      <w:r w:rsidRPr="005C0ABB">
        <w:rPr>
          <w:rFonts w:ascii="Arial" w:hAnsi="Arial" w:cs="Arial"/>
          <w:color w:val="222222"/>
          <w:sz w:val="24"/>
          <w:szCs w:val="24"/>
          <w:shd w:val="clear" w:color="auto" w:fill="FFFFFF"/>
        </w:rPr>
        <w:t xml:space="preserve"> Pension Regulations do not supersede the minutes or settlement because the minutes and settlement agreed categorically that all the matte</w:t>
      </w:r>
      <w:r w:rsidR="00881D5D">
        <w:rPr>
          <w:rFonts w:ascii="Arial" w:hAnsi="Arial" w:cs="Arial"/>
          <w:color w:val="222222"/>
          <w:sz w:val="24"/>
          <w:szCs w:val="24"/>
          <w:shd w:val="clear" w:color="auto" w:fill="FFFFFF"/>
        </w:rPr>
        <w:t>rs agreed would be provided in Pension R</w:t>
      </w:r>
      <w:r w:rsidRPr="005C0ABB">
        <w:rPr>
          <w:rFonts w:ascii="Arial" w:hAnsi="Arial" w:cs="Arial"/>
          <w:color w:val="222222"/>
          <w:sz w:val="24"/>
          <w:szCs w:val="24"/>
          <w:shd w:val="clear" w:color="auto" w:fill="FFFFFF"/>
        </w:rPr>
        <w:t xml:space="preserve">egulations. If the same is not provided in Regulations then the settlement prevails. </w:t>
      </w:r>
      <w:r w:rsidR="00881D5D">
        <w:rPr>
          <w:rFonts w:ascii="Arial" w:hAnsi="Arial" w:cs="Arial"/>
          <w:color w:val="222222"/>
          <w:sz w:val="24"/>
          <w:szCs w:val="24"/>
          <w:shd w:val="clear" w:color="auto" w:fill="FFFFFF"/>
        </w:rPr>
        <w:t xml:space="preserve"> </w:t>
      </w:r>
      <w:r w:rsidRPr="005C0ABB">
        <w:rPr>
          <w:rFonts w:ascii="Arial" w:hAnsi="Arial" w:cs="Arial"/>
          <w:color w:val="222222"/>
          <w:sz w:val="24"/>
          <w:szCs w:val="24"/>
          <w:shd w:val="clear" w:color="auto" w:fill="FFFFFF"/>
        </w:rPr>
        <w:t xml:space="preserve">Unfortunately </w:t>
      </w:r>
      <w:r w:rsidRPr="00592DAC">
        <w:rPr>
          <w:rFonts w:ascii="Arial" w:hAnsi="Arial" w:cs="Arial"/>
          <w:color w:val="222222"/>
          <w:sz w:val="24"/>
          <w:szCs w:val="24"/>
          <w:shd w:val="clear" w:color="auto" w:fill="FFFFFF"/>
        </w:rPr>
        <w:t xml:space="preserve">the Oriental Bank Retired Officers </w:t>
      </w:r>
      <w:r w:rsidR="00592DAC" w:rsidRPr="00592DAC">
        <w:rPr>
          <w:rFonts w:ascii="Arial" w:hAnsi="Arial" w:cs="Arial"/>
          <w:color w:val="222222"/>
          <w:sz w:val="24"/>
          <w:szCs w:val="24"/>
          <w:shd w:val="clear" w:color="auto" w:fill="FFFFFF"/>
        </w:rPr>
        <w:t>Association petitioners</w:t>
      </w:r>
      <w:r w:rsidRPr="00592DAC">
        <w:rPr>
          <w:rFonts w:ascii="Arial" w:hAnsi="Arial" w:cs="Arial"/>
          <w:color w:val="222222"/>
          <w:sz w:val="24"/>
          <w:szCs w:val="24"/>
          <w:shd w:val="clear" w:color="auto" w:fill="FFFFFF"/>
        </w:rPr>
        <w:t xml:space="preserve"> did not cite </w:t>
      </w:r>
      <w:r w:rsidRPr="00592DAC">
        <w:rPr>
          <w:rFonts w:ascii="Arial" w:hAnsi="Arial" w:cs="Arial"/>
          <w:b/>
          <w:color w:val="222222"/>
          <w:sz w:val="24"/>
          <w:szCs w:val="24"/>
          <w:shd w:val="clear" w:color="auto" w:fill="FFFFFF"/>
        </w:rPr>
        <w:t xml:space="preserve">Regulation </w:t>
      </w:r>
      <w:r w:rsidR="00592DAC" w:rsidRPr="00592DAC">
        <w:rPr>
          <w:rFonts w:ascii="Arial" w:hAnsi="Arial" w:cs="Arial"/>
          <w:b/>
          <w:color w:val="222222"/>
          <w:sz w:val="24"/>
          <w:szCs w:val="24"/>
          <w:shd w:val="clear" w:color="auto" w:fill="FFFFFF"/>
        </w:rPr>
        <w:t>35</w:t>
      </w:r>
      <w:r w:rsidR="00592DAC" w:rsidRPr="00592DAC">
        <w:rPr>
          <w:rFonts w:ascii="Arial" w:hAnsi="Arial" w:cs="Arial"/>
          <w:color w:val="222222"/>
          <w:sz w:val="24"/>
          <w:szCs w:val="24"/>
          <w:shd w:val="clear" w:color="auto" w:fill="FFFFFF"/>
        </w:rPr>
        <w:t xml:space="preserve"> that</w:t>
      </w:r>
      <w:r w:rsidR="00881D5D">
        <w:rPr>
          <w:rFonts w:ascii="Arial" w:hAnsi="Arial" w:cs="Arial"/>
          <w:color w:val="222222"/>
          <w:sz w:val="24"/>
          <w:szCs w:val="24"/>
          <w:shd w:val="clear" w:color="auto" w:fill="FFFFFF"/>
        </w:rPr>
        <w:t xml:space="preserve"> provides for Pension U</w:t>
      </w:r>
      <w:r w:rsidRPr="00592DAC">
        <w:rPr>
          <w:rFonts w:ascii="Arial" w:hAnsi="Arial" w:cs="Arial"/>
          <w:color w:val="222222"/>
          <w:sz w:val="24"/>
          <w:szCs w:val="24"/>
          <w:shd w:val="clear" w:color="auto" w:fill="FFFFFF"/>
        </w:rPr>
        <w:t>pdation and t</w:t>
      </w:r>
      <w:r w:rsidR="00881D5D">
        <w:rPr>
          <w:rFonts w:ascii="Arial" w:hAnsi="Arial" w:cs="Arial"/>
          <w:color w:val="222222"/>
          <w:sz w:val="24"/>
          <w:szCs w:val="24"/>
          <w:shd w:val="clear" w:color="auto" w:fill="FFFFFF"/>
        </w:rPr>
        <w:t>he Appendix I that implemented Pension U</w:t>
      </w:r>
      <w:r w:rsidRPr="00592DAC">
        <w:rPr>
          <w:rFonts w:ascii="Arial" w:hAnsi="Arial" w:cs="Arial"/>
          <w:color w:val="222222"/>
          <w:sz w:val="24"/>
          <w:szCs w:val="24"/>
          <w:shd w:val="clear" w:color="auto" w:fill="FFFFFF"/>
        </w:rPr>
        <w:t xml:space="preserve">pdation </w:t>
      </w:r>
      <w:r w:rsidR="00881D5D">
        <w:rPr>
          <w:rFonts w:ascii="Arial" w:hAnsi="Arial" w:cs="Arial"/>
          <w:color w:val="222222"/>
          <w:sz w:val="24"/>
          <w:szCs w:val="24"/>
          <w:shd w:val="clear" w:color="auto" w:fill="FFFFFF"/>
        </w:rPr>
        <w:t>for one batch of R</w:t>
      </w:r>
      <w:r w:rsidRPr="00592DAC">
        <w:rPr>
          <w:rFonts w:ascii="Arial" w:hAnsi="Arial" w:cs="Arial"/>
          <w:color w:val="222222"/>
          <w:sz w:val="24"/>
          <w:szCs w:val="24"/>
          <w:shd w:val="clear" w:color="auto" w:fill="FFFFFF"/>
        </w:rPr>
        <w:t>etirees who belonged to 4th Bipartite Settlement period.</w:t>
      </w:r>
    </w:p>
    <w:p w:rsidR="00A12904" w:rsidRPr="005C0ABB" w:rsidRDefault="00A12904" w:rsidP="005C0ABB">
      <w:pPr>
        <w:shd w:val="clear" w:color="auto" w:fill="FFFFFF"/>
        <w:spacing w:after="0" w:line="240" w:lineRule="auto"/>
        <w:ind w:left="720"/>
        <w:jc w:val="both"/>
        <w:rPr>
          <w:rFonts w:ascii="Arial" w:hAnsi="Arial" w:cs="Arial"/>
          <w:color w:val="222222"/>
          <w:sz w:val="24"/>
          <w:szCs w:val="24"/>
          <w:shd w:val="clear" w:color="auto" w:fill="FFFFFF"/>
        </w:rPr>
      </w:pPr>
    </w:p>
    <w:p w:rsidR="00A12904" w:rsidRPr="005C0ABB" w:rsidRDefault="00A12904" w:rsidP="005C0ABB">
      <w:pPr>
        <w:shd w:val="clear" w:color="auto" w:fill="FFFFFF"/>
        <w:spacing w:after="0" w:line="240" w:lineRule="auto"/>
        <w:ind w:left="720"/>
        <w:jc w:val="both"/>
        <w:rPr>
          <w:rFonts w:ascii="Arial" w:eastAsia="Times New Roman" w:hAnsi="Arial" w:cs="Arial"/>
          <w:color w:val="222222"/>
          <w:sz w:val="24"/>
          <w:szCs w:val="24"/>
        </w:rPr>
      </w:pPr>
      <w:r w:rsidRPr="005C0ABB">
        <w:rPr>
          <w:rFonts w:ascii="Arial" w:eastAsia="Times New Roman" w:hAnsi="Arial" w:cs="Arial"/>
          <w:color w:val="222222"/>
          <w:sz w:val="24"/>
          <w:szCs w:val="24"/>
        </w:rPr>
        <w:t>Further DA case is argued not only on the basis of Nakara bu</w:t>
      </w:r>
      <w:r w:rsidR="00881D5D">
        <w:rPr>
          <w:rFonts w:ascii="Arial" w:eastAsia="Times New Roman" w:hAnsi="Arial" w:cs="Arial"/>
          <w:color w:val="222222"/>
          <w:sz w:val="24"/>
          <w:szCs w:val="24"/>
        </w:rPr>
        <w:t>t also on the basis of Pension S</w:t>
      </w:r>
      <w:r w:rsidRPr="005C0ABB">
        <w:rPr>
          <w:rFonts w:ascii="Arial" w:eastAsia="Times New Roman" w:hAnsi="Arial" w:cs="Arial"/>
          <w:color w:val="222222"/>
          <w:sz w:val="24"/>
          <w:szCs w:val="24"/>
        </w:rPr>
        <w:t>ettlement that provided for payment of DA as obtaining in RBI/Serving officers. Having extended this agreed formula till 2005 IBA cannot unilaterally discontinue it when R</w:t>
      </w:r>
      <w:r w:rsidR="00881D5D">
        <w:rPr>
          <w:rFonts w:ascii="Arial" w:eastAsia="Times New Roman" w:hAnsi="Arial" w:cs="Arial"/>
          <w:color w:val="222222"/>
          <w:sz w:val="24"/>
          <w:szCs w:val="24"/>
        </w:rPr>
        <w:t>BI has extended 100% DA to all R</w:t>
      </w:r>
      <w:r w:rsidRPr="005C0ABB">
        <w:rPr>
          <w:rFonts w:ascii="Arial" w:eastAsia="Times New Roman" w:hAnsi="Arial" w:cs="Arial"/>
          <w:color w:val="222222"/>
          <w:sz w:val="24"/>
          <w:szCs w:val="24"/>
        </w:rPr>
        <w:t xml:space="preserve">etirees irrespective of their date of retirement. This is what Hon’ble Kolkata High Court has held and Hon’ble Supreme </w:t>
      </w:r>
      <w:r w:rsidR="00881D5D" w:rsidRPr="005C0ABB">
        <w:rPr>
          <w:rFonts w:ascii="Arial" w:eastAsia="Times New Roman" w:hAnsi="Arial" w:cs="Arial"/>
          <w:color w:val="222222"/>
          <w:sz w:val="24"/>
          <w:szCs w:val="24"/>
        </w:rPr>
        <w:t>Court has</w:t>
      </w:r>
      <w:r w:rsidRPr="005C0ABB">
        <w:rPr>
          <w:rFonts w:ascii="Arial" w:eastAsia="Times New Roman" w:hAnsi="Arial" w:cs="Arial"/>
          <w:color w:val="222222"/>
          <w:sz w:val="24"/>
          <w:szCs w:val="24"/>
        </w:rPr>
        <w:t xml:space="preserve"> not overturned the order of Hon’ble Kolkata High Court.</w:t>
      </w:r>
    </w:p>
    <w:p w:rsidR="00A12904" w:rsidRPr="005C0ABB" w:rsidRDefault="00A12904" w:rsidP="005C0ABB">
      <w:pPr>
        <w:shd w:val="clear" w:color="auto" w:fill="FFFFFF"/>
        <w:spacing w:after="0" w:line="240" w:lineRule="auto"/>
        <w:ind w:left="720"/>
        <w:jc w:val="both"/>
        <w:rPr>
          <w:rFonts w:ascii="Arial" w:eastAsia="Times New Roman" w:hAnsi="Arial" w:cs="Arial"/>
          <w:color w:val="222222"/>
          <w:sz w:val="24"/>
          <w:szCs w:val="24"/>
        </w:rPr>
      </w:pPr>
    </w:p>
    <w:p w:rsidR="00A12904" w:rsidRPr="005C0ABB" w:rsidRDefault="00A12904" w:rsidP="005C0ABB">
      <w:pPr>
        <w:shd w:val="clear" w:color="auto" w:fill="FFFFFF"/>
        <w:spacing w:after="0" w:line="240" w:lineRule="auto"/>
        <w:ind w:left="720"/>
        <w:jc w:val="both"/>
        <w:rPr>
          <w:rFonts w:ascii="Arial" w:eastAsia="Times New Roman" w:hAnsi="Arial" w:cs="Arial"/>
          <w:color w:val="222222"/>
          <w:sz w:val="24"/>
          <w:szCs w:val="24"/>
        </w:rPr>
      </w:pPr>
      <w:r w:rsidRPr="005C0ABB">
        <w:rPr>
          <w:rFonts w:ascii="Arial" w:eastAsia="Times New Roman" w:hAnsi="Arial" w:cs="Arial"/>
          <w:color w:val="222222"/>
          <w:sz w:val="24"/>
          <w:szCs w:val="24"/>
        </w:rPr>
        <w:t>Further there is no ratio for the retirement date as cut off for denying this improved benefit and cost also cannot be a co</w:t>
      </w:r>
      <w:r w:rsidR="00881D5D">
        <w:rPr>
          <w:rFonts w:ascii="Arial" w:eastAsia="Times New Roman" w:hAnsi="Arial" w:cs="Arial"/>
          <w:color w:val="222222"/>
          <w:sz w:val="24"/>
          <w:szCs w:val="24"/>
        </w:rPr>
        <w:t>nsideration because all future R</w:t>
      </w:r>
      <w:r w:rsidRPr="005C0ABB">
        <w:rPr>
          <w:rFonts w:ascii="Arial" w:eastAsia="Times New Roman" w:hAnsi="Arial" w:cs="Arial"/>
          <w:color w:val="222222"/>
          <w:sz w:val="24"/>
          <w:szCs w:val="24"/>
        </w:rPr>
        <w:t xml:space="preserve">etirees from 2002 onwards would be getting 100% DA and this is a substantial majority while only a small minority would not get the benefit of 100% DA relief. </w:t>
      </w:r>
      <w:r w:rsidR="00881D5D">
        <w:rPr>
          <w:rFonts w:ascii="Arial" w:eastAsia="Times New Roman" w:hAnsi="Arial" w:cs="Arial"/>
          <w:color w:val="222222"/>
          <w:sz w:val="24"/>
          <w:szCs w:val="24"/>
        </w:rPr>
        <w:t xml:space="preserve"> When B</w:t>
      </w:r>
      <w:r w:rsidRPr="005C0ABB">
        <w:rPr>
          <w:rFonts w:ascii="Arial" w:eastAsia="Times New Roman" w:hAnsi="Arial" w:cs="Arial"/>
          <w:color w:val="222222"/>
          <w:sz w:val="24"/>
          <w:szCs w:val="24"/>
        </w:rPr>
        <w:t xml:space="preserve">anks are willing to extend a benefit to a majority but not to a small minority, cost cannot be shown as a reason.  In any case it is not costly at all.  This is a vanishing tribe and the Banks may have to bear the burden for this small section for a few more years, that too on a fast reducing scale due to their very advanced age.  There shall be absolutely no difficulties as the Corpus available in the Pension Fund of all the Banks put together </w:t>
      </w:r>
      <w:r w:rsidR="007A7B6F" w:rsidRPr="005C0ABB">
        <w:rPr>
          <w:rFonts w:ascii="Arial" w:eastAsia="Times New Roman" w:hAnsi="Arial" w:cs="Arial"/>
          <w:color w:val="222222"/>
          <w:sz w:val="24"/>
          <w:szCs w:val="24"/>
        </w:rPr>
        <w:t>is</w:t>
      </w:r>
      <w:r w:rsidRPr="005C0ABB">
        <w:rPr>
          <w:rFonts w:ascii="Arial" w:eastAsia="Times New Roman" w:hAnsi="Arial" w:cs="Arial"/>
          <w:color w:val="222222"/>
          <w:sz w:val="24"/>
          <w:szCs w:val="24"/>
        </w:rPr>
        <w:t xml:space="preserve"> very huge.</w:t>
      </w:r>
    </w:p>
    <w:p w:rsidR="00A12904" w:rsidRPr="005C0ABB" w:rsidRDefault="00A12904" w:rsidP="005C0ABB">
      <w:pPr>
        <w:shd w:val="clear" w:color="auto" w:fill="FFFFFF"/>
        <w:spacing w:after="0" w:line="240" w:lineRule="auto"/>
        <w:ind w:left="360"/>
        <w:jc w:val="both"/>
        <w:rPr>
          <w:rFonts w:ascii="Arial" w:eastAsia="Times New Roman" w:hAnsi="Arial" w:cs="Arial"/>
          <w:color w:val="222222"/>
          <w:sz w:val="24"/>
          <w:szCs w:val="24"/>
        </w:rPr>
      </w:pPr>
    </w:p>
    <w:p w:rsidR="00A12904" w:rsidRDefault="00A12904" w:rsidP="005C0ABB">
      <w:pPr>
        <w:pStyle w:val="ListParagraph"/>
        <w:numPr>
          <w:ilvl w:val="0"/>
          <w:numId w:val="2"/>
        </w:numPr>
        <w:shd w:val="clear" w:color="auto" w:fill="FFFFFF"/>
        <w:spacing w:after="0" w:line="240" w:lineRule="auto"/>
        <w:jc w:val="both"/>
        <w:rPr>
          <w:rFonts w:ascii="Arial" w:hAnsi="Arial" w:cs="Arial"/>
          <w:sz w:val="24"/>
          <w:szCs w:val="24"/>
        </w:rPr>
      </w:pPr>
      <w:r w:rsidRPr="005C0ABB">
        <w:rPr>
          <w:rFonts w:ascii="Arial" w:hAnsi="Arial" w:cs="Arial"/>
          <w:sz w:val="24"/>
          <w:szCs w:val="24"/>
        </w:rPr>
        <w:t>During the proceedings on 28.02.2017 we have made a pointed reference to clause 6 of Pension S</w:t>
      </w:r>
      <w:r w:rsidR="007A7B6F">
        <w:rPr>
          <w:rFonts w:ascii="Arial" w:hAnsi="Arial" w:cs="Arial"/>
          <w:sz w:val="24"/>
          <w:szCs w:val="24"/>
        </w:rPr>
        <w:t>ettlement of 1993 and also the Small C</w:t>
      </w:r>
      <w:r w:rsidRPr="005C0ABB">
        <w:rPr>
          <w:rFonts w:ascii="Arial" w:hAnsi="Arial" w:cs="Arial"/>
          <w:sz w:val="24"/>
          <w:szCs w:val="24"/>
        </w:rPr>
        <w:t xml:space="preserve">ommittee meeting minutes, the copies of which were submitted to you during the proceedings.  Clause 6 of the Pension Settlement is binding as the same is concluded under the Industrial Dispute Act between the Workmen Unions and the IBA and the Minutes of the Small </w:t>
      </w:r>
      <w:r w:rsidR="007A7B6F" w:rsidRPr="005C0ABB">
        <w:rPr>
          <w:rFonts w:ascii="Arial" w:hAnsi="Arial" w:cs="Arial"/>
          <w:sz w:val="24"/>
          <w:szCs w:val="24"/>
        </w:rPr>
        <w:t>Committee were</w:t>
      </w:r>
      <w:r w:rsidRPr="005C0ABB">
        <w:rPr>
          <w:rFonts w:ascii="Arial" w:hAnsi="Arial" w:cs="Arial"/>
          <w:sz w:val="24"/>
          <w:szCs w:val="24"/>
        </w:rPr>
        <w:t xml:space="preserve"> also reduced to Regulations in 1995.  As </w:t>
      </w:r>
      <w:r w:rsidRPr="005C0ABB">
        <w:rPr>
          <w:rFonts w:ascii="Arial" w:hAnsi="Arial" w:cs="Arial"/>
          <w:sz w:val="24"/>
          <w:szCs w:val="24"/>
        </w:rPr>
        <w:lastRenderedPageBreak/>
        <w:t>per Pension Regulation 37 in respect of Dearness Relief,</w:t>
      </w:r>
      <w:r w:rsidR="007A7B6F">
        <w:rPr>
          <w:rFonts w:ascii="Arial" w:hAnsi="Arial" w:cs="Arial"/>
          <w:sz w:val="24"/>
          <w:szCs w:val="24"/>
        </w:rPr>
        <w:t xml:space="preserve"> </w:t>
      </w:r>
      <w:r w:rsidRPr="005C0ABB">
        <w:rPr>
          <w:rFonts w:ascii="Arial" w:hAnsi="Arial" w:cs="Arial"/>
          <w:sz w:val="24"/>
          <w:szCs w:val="24"/>
        </w:rPr>
        <w:t xml:space="preserve">the same was given on the Tapered DA Relief Formula to both Serving and Retired RBI and Bank Employees and from the 8th Bipartite Settlement consequent </w:t>
      </w:r>
      <w:r w:rsidR="007A7B6F" w:rsidRPr="005C0ABB">
        <w:rPr>
          <w:rFonts w:ascii="Arial" w:hAnsi="Arial" w:cs="Arial"/>
          <w:sz w:val="24"/>
          <w:szCs w:val="24"/>
        </w:rPr>
        <w:t>to the</w:t>
      </w:r>
      <w:r w:rsidRPr="005C0ABB">
        <w:rPr>
          <w:rFonts w:ascii="Arial" w:hAnsi="Arial" w:cs="Arial"/>
          <w:sz w:val="24"/>
          <w:szCs w:val="24"/>
        </w:rPr>
        <w:t xml:space="preserve"> change of DA formula to 100% DA, RBI also started paying 100% DA relief to both Serving Employees and Retired Employees without any cutoff date. In spite of </w:t>
      </w:r>
      <w:r w:rsidR="007A7B6F" w:rsidRPr="005C0ABB">
        <w:rPr>
          <w:rFonts w:ascii="Arial" w:hAnsi="Arial" w:cs="Arial"/>
          <w:sz w:val="24"/>
          <w:szCs w:val="24"/>
        </w:rPr>
        <w:t>this the</w:t>
      </w:r>
      <w:r w:rsidRPr="005C0ABB">
        <w:rPr>
          <w:rFonts w:ascii="Arial" w:hAnsi="Arial" w:cs="Arial"/>
          <w:sz w:val="24"/>
          <w:szCs w:val="24"/>
        </w:rPr>
        <w:t xml:space="preserve"> same is not extended to Pre-2002 Retirees in other Banks though the Joint Note and the Settlement of 2005 did not preclude/exclude any section of Serving Bank Employees or Retired Bank Employees from getting the benefit of the amended DA formula.  It is unfortunate that the IBA made its own uncalled for interpretations against the provisions </w:t>
      </w:r>
      <w:r w:rsidR="007A7B6F">
        <w:rPr>
          <w:rFonts w:ascii="Arial" w:hAnsi="Arial" w:cs="Arial"/>
          <w:sz w:val="24"/>
          <w:szCs w:val="24"/>
        </w:rPr>
        <w:t>of the S</w:t>
      </w:r>
      <w:r w:rsidRPr="005C0ABB">
        <w:rPr>
          <w:rFonts w:ascii="Arial" w:hAnsi="Arial" w:cs="Arial"/>
          <w:sz w:val="24"/>
          <w:szCs w:val="24"/>
        </w:rPr>
        <w:t>ettlement and Regulations arbitrarily and illegally denying the benefit of improved DA formula without any authority and against the provisions of 2005 settlement.</w:t>
      </w:r>
    </w:p>
    <w:p w:rsidR="00592DAC" w:rsidRPr="005C0ABB" w:rsidRDefault="00592DAC" w:rsidP="00592DAC">
      <w:pPr>
        <w:pStyle w:val="ListParagraph"/>
        <w:shd w:val="clear" w:color="auto" w:fill="FFFFFF"/>
        <w:spacing w:after="0" w:line="240" w:lineRule="auto"/>
        <w:ind w:left="900"/>
        <w:jc w:val="both"/>
        <w:rPr>
          <w:rFonts w:ascii="Arial" w:hAnsi="Arial" w:cs="Arial"/>
          <w:sz w:val="24"/>
          <w:szCs w:val="24"/>
        </w:rPr>
      </w:pPr>
    </w:p>
    <w:p w:rsidR="00A12904" w:rsidRPr="005C0ABB" w:rsidRDefault="00A12904" w:rsidP="005C0ABB">
      <w:pPr>
        <w:pStyle w:val="ListParagraph"/>
        <w:numPr>
          <w:ilvl w:val="0"/>
          <w:numId w:val="2"/>
        </w:numPr>
        <w:shd w:val="clear" w:color="auto" w:fill="FFFFFF"/>
        <w:spacing w:after="0" w:line="240" w:lineRule="auto"/>
        <w:jc w:val="both"/>
        <w:rPr>
          <w:rFonts w:ascii="Arial" w:hAnsi="Arial" w:cs="Arial"/>
          <w:sz w:val="24"/>
          <w:szCs w:val="24"/>
        </w:rPr>
      </w:pPr>
      <w:r w:rsidRPr="005C0ABB">
        <w:rPr>
          <w:rFonts w:ascii="Arial" w:hAnsi="Arial" w:cs="Arial"/>
          <w:sz w:val="24"/>
          <w:szCs w:val="24"/>
        </w:rPr>
        <w:t xml:space="preserve">When same DA formula is </w:t>
      </w:r>
      <w:r w:rsidR="007A7B6F" w:rsidRPr="005C0ABB">
        <w:rPr>
          <w:rFonts w:ascii="Arial" w:hAnsi="Arial" w:cs="Arial"/>
          <w:sz w:val="24"/>
          <w:szCs w:val="24"/>
        </w:rPr>
        <w:t>adapted</w:t>
      </w:r>
      <w:r w:rsidRPr="005C0ABB">
        <w:rPr>
          <w:rFonts w:ascii="Arial" w:hAnsi="Arial" w:cs="Arial"/>
          <w:sz w:val="24"/>
          <w:szCs w:val="24"/>
        </w:rPr>
        <w:t xml:space="preserve"> to all serving employees irrespective of their date of joining there cann</w:t>
      </w:r>
      <w:r w:rsidR="007A7B6F">
        <w:rPr>
          <w:rFonts w:ascii="Arial" w:hAnsi="Arial" w:cs="Arial"/>
          <w:sz w:val="24"/>
          <w:szCs w:val="24"/>
        </w:rPr>
        <w:t>ot be different DA formula for R</w:t>
      </w:r>
      <w:r w:rsidRPr="005C0ABB">
        <w:rPr>
          <w:rFonts w:ascii="Arial" w:hAnsi="Arial" w:cs="Arial"/>
          <w:sz w:val="24"/>
          <w:szCs w:val="24"/>
        </w:rPr>
        <w:t>etirees based on their date of retirement. When Pension is a deferred wage there cannot be different and discriminatory wage formula</w:t>
      </w:r>
      <w:r w:rsidR="007A7B6F">
        <w:rPr>
          <w:rFonts w:ascii="Arial" w:hAnsi="Arial" w:cs="Arial"/>
          <w:sz w:val="24"/>
          <w:szCs w:val="24"/>
        </w:rPr>
        <w:t xml:space="preserve"> for P</w:t>
      </w:r>
      <w:r w:rsidRPr="005C0ABB">
        <w:rPr>
          <w:rFonts w:ascii="Arial" w:hAnsi="Arial" w:cs="Arial"/>
          <w:sz w:val="24"/>
          <w:szCs w:val="24"/>
        </w:rPr>
        <w:t xml:space="preserve">ensioners. </w:t>
      </w:r>
      <w:bookmarkStart w:id="0" w:name="_GoBack"/>
      <w:bookmarkEnd w:id="0"/>
    </w:p>
    <w:p w:rsidR="001626DE" w:rsidRDefault="001626DE" w:rsidP="005C0ABB">
      <w:pPr>
        <w:pStyle w:val="ListParagraph"/>
        <w:shd w:val="clear" w:color="auto" w:fill="FFFFFF"/>
        <w:spacing w:after="0" w:line="240" w:lineRule="auto"/>
        <w:jc w:val="both"/>
        <w:rPr>
          <w:rFonts w:ascii="Arial" w:hAnsi="Arial" w:cs="Arial"/>
          <w:sz w:val="24"/>
          <w:szCs w:val="24"/>
        </w:rPr>
      </w:pPr>
    </w:p>
    <w:p w:rsidR="00A12904" w:rsidRPr="005C0ABB" w:rsidRDefault="00867F12" w:rsidP="005C0ABB">
      <w:pPr>
        <w:pStyle w:val="ListParagraph"/>
        <w:shd w:val="clear" w:color="auto" w:fill="FFFFFF"/>
        <w:spacing w:after="0" w:line="240" w:lineRule="auto"/>
        <w:jc w:val="both"/>
        <w:rPr>
          <w:rFonts w:ascii="Arial" w:hAnsi="Arial" w:cs="Arial"/>
          <w:sz w:val="24"/>
          <w:szCs w:val="24"/>
        </w:rPr>
      </w:pPr>
      <w:r w:rsidRPr="005C0ABB">
        <w:rPr>
          <w:rFonts w:ascii="Arial" w:hAnsi="Arial" w:cs="Arial"/>
          <w:sz w:val="24"/>
          <w:szCs w:val="24"/>
        </w:rPr>
        <w:t xml:space="preserve">In the light of </w:t>
      </w:r>
      <w:r w:rsidR="004524E4" w:rsidRPr="005C0ABB">
        <w:rPr>
          <w:rFonts w:ascii="Arial" w:hAnsi="Arial" w:cs="Arial"/>
          <w:sz w:val="24"/>
          <w:szCs w:val="24"/>
        </w:rPr>
        <w:t xml:space="preserve">the </w:t>
      </w:r>
      <w:r w:rsidRPr="005C0ABB">
        <w:rPr>
          <w:rFonts w:ascii="Arial" w:hAnsi="Arial" w:cs="Arial"/>
          <w:sz w:val="24"/>
          <w:szCs w:val="24"/>
        </w:rPr>
        <w:t>above w</w:t>
      </w:r>
      <w:r w:rsidR="00A12904" w:rsidRPr="005C0ABB">
        <w:rPr>
          <w:rFonts w:ascii="Arial" w:hAnsi="Arial" w:cs="Arial"/>
          <w:sz w:val="24"/>
          <w:szCs w:val="24"/>
        </w:rPr>
        <w:t xml:space="preserve">e earnestly request Your Good-self </w:t>
      </w:r>
      <w:r w:rsidR="00DE624D" w:rsidRPr="005C0ABB">
        <w:rPr>
          <w:rFonts w:ascii="Arial" w:hAnsi="Arial" w:cs="Arial"/>
          <w:sz w:val="24"/>
          <w:szCs w:val="24"/>
        </w:rPr>
        <w:t>to kindly</w:t>
      </w:r>
      <w:r w:rsidR="00A12904" w:rsidRPr="005C0ABB">
        <w:rPr>
          <w:rFonts w:ascii="Arial" w:hAnsi="Arial" w:cs="Arial"/>
          <w:sz w:val="24"/>
          <w:szCs w:val="24"/>
        </w:rPr>
        <w:t xml:space="preserve"> issue necessary orders and give relief to Pre-2002 Retirees.</w:t>
      </w:r>
    </w:p>
    <w:p w:rsidR="00A12904" w:rsidRPr="005C0ABB" w:rsidRDefault="00A12904" w:rsidP="005C0ABB">
      <w:pPr>
        <w:pStyle w:val="ListParagraph"/>
        <w:shd w:val="clear" w:color="auto" w:fill="FFFFFF"/>
        <w:spacing w:after="0" w:line="240" w:lineRule="auto"/>
        <w:jc w:val="both"/>
        <w:rPr>
          <w:rFonts w:ascii="Arial" w:hAnsi="Arial" w:cs="Arial"/>
          <w:sz w:val="24"/>
          <w:szCs w:val="24"/>
        </w:rPr>
      </w:pPr>
    </w:p>
    <w:p w:rsidR="00A12904" w:rsidRDefault="00A12904" w:rsidP="005C0ABB">
      <w:pPr>
        <w:pStyle w:val="ListParagraph"/>
        <w:shd w:val="clear" w:color="auto" w:fill="FFFFFF"/>
        <w:spacing w:after="0" w:line="240" w:lineRule="auto"/>
        <w:jc w:val="both"/>
        <w:rPr>
          <w:rFonts w:ascii="Arial" w:hAnsi="Arial" w:cs="Arial"/>
          <w:sz w:val="24"/>
          <w:szCs w:val="24"/>
        </w:rPr>
      </w:pPr>
      <w:r w:rsidRPr="005C0ABB">
        <w:rPr>
          <w:rFonts w:ascii="Arial" w:hAnsi="Arial" w:cs="Arial"/>
          <w:sz w:val="24"/>
          <w:szCs w:val="24"/>
        </w:rPr>
        <w:t>Thanking you</w:t>
      </w:r>
    </w:p>
    <w:p w:rsidR="00E80295" w:rsidRDefault="00E80295" w:rsidP="005C0ABB">
      <w:pPr>
        <w:pStyle w:val="ListParagraph"/>
        <w:shd w:val="clear" w:color="auto" w:fill="FFFFFF"/>
        <w:spacing w:after="0" w:line="240" w:lineRule="auto"/>
        <w:jc w:val="both"/>
        <w:rPr>
          <w:rFonts w:ascii="Arial" w:hAnsi="Arial" w:cs="Arial"/>
          <w:sz w:val="24"/>
          <w:szCs w:val="24"/>
        </w:rPr>
      </w:pPr>
    </w:p>
    <w:p w:rsidR="00E80295" w:rsidRDefault="00E80295" w:rsidP="005C0ABB">
      <w:pPr>
        <w:pStyle w:val="ListParagraph"/>
        <w:shd w:val="clear" w:color="auto" w:fill="FFFFFF"/>
        <w:spacing w:after="0" w:line="240" w:lineRule="auto"/>
        <w:jc w:val="both"/>
        <w:rPr>
          <w:rFonts w:ascii="Arial" w:hAnsi="Arial" w:cs="Arial"/>
          <w:sz w:val="24"/>
          <w:szCs w:val="24"/>
        </w:rPr>
      </w:pPr>
      <w:r>
        <w:rPr>
          <w:rFonts w:ascii="Arial" w:hAnsi="Arial" w:cs="Arial"/>
          <w:sz w:val="24"/>
          <w:szCs w:val="24"/>
        </w:rPr>
        <w:t>Yours sincerely,</w:t>
      </w:r>
    </w:p>
    <w:p w:rsidR="00E80295" w:rsidRPr="00E80295" w:rsidRDefault="00E80295" w:rsidP="00E80295">
      <w:pPr>
        <w:shd w:val="clear" w:color="auto" w:fill="FFFFFF"/>
        <w:spacing w:after="0" w:line="240" w:lineRule="auto"/>
        <w:jc w:val="both"/>
        <w:rPr>
          <w:rFonts w:ascii="Arial" w:hAnsi="Arial" w:cs="Arial"/>
          <w:sz w:val="24"/>
          <w:szCs w:val="24"/>
        </w:rPr>
      </w:pPr>
      <w:r w:rsidRPr="00E80295">
        <w:rPr>
          <w:rFonts w:ascii="Arial" w:hAnsi="Arial" w:cs="Arial"/>
          <w:sz w:val="24"/>
          <w:szCs w:val="24"/>
        </w:rPr>
        <w:t xml:space="preserve">    </w:t>
      </w:r>
      <w:r>
        <w:rPr>
          <w:noProof/>
          <w:lang w:val="en-IN" w:eastAsia="en-IN"/>
        </w:rPr>
        <w:drawing>
          <wp:inline distT="0" distB="0" distL="0" distR="0">
            <wp:extent cx="1619969" cy="948905"/>
            <wp:effectExtent l="19050" t="0" r="0" b="0"/>
            <wp:docPr id="9" name="Picture 5" descr="C:\Users\RKM\Downloads\Ramesh Babu Sign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KM\Downloads\Ramesh Babu Sign New.tif"/>
                    <pic:cNvPicPr>
                      <a:picLocks noChangeAspect="1" noChangeArrowheads="1"/>
                    </pic:cNvPicPr>
                  </pic:nvPicPr>
                  <pic:blipFill>
                    <a:blip r:embed="rId8" cstate="print"/>
                    <a:srcRect/>
                    <a:stretch>
                      <a:fillRect/>
                    </a:stretch>
                  </pic:blipFill>
                  <pic:spPr bwMode="auto">
                    <a:xfrm>
                      <a:off x="0" y="0"/>
                      <a:ext cx="1619969" cy="948905"/>
                    </a:xfrm>
                    <a:prstGeom prst="rect">
                      <a:avLst/>
                    </a:prstGeom>
                    <a:noFill/>
                    <a:ln w="9525">
                      <a:noFill/>
                      <a:miter lim="800000"/>
                      <a:headEnd/>
                      <a:tailEnd/>
                    </a:ln>
                  </pic:spPr>
                </pic:pic>
              </a:graphicData>
            </a:graphic>
          </wp:inline>
        </w:drawing>
      </w:r>
      <w:r>
        <w:rPr>
          <w:rFonts w:ascii="Arial" w:hAnsi="Arial" w:cs="Arial"/>
          <w:sz w:val="24"/>
          <w:szCs w:val="24"/>
        </w:rPr>
        <w:t xml:space="preserve">               </w:t>
      </w:r>
      <w:r w:rsidRPr="00E80295">
        <w:rPr>
          <w:rFonts w:ascii="Arial" w:hAnsi="Arial" w:cs="Arial"/>
          <w:sz w:val="24"/>
          <w:szCs w:val="24"/>
        </w:rPr>
        <w:t xml:space="preserve">     </w:t>
      </w:r>
      <w:r w:rsidRPr="00E80295">
        <w:rPr>
          <w:noProof/>
          <w:lang w:val="en-IN" w:eastAsia="en-IN"/>
        </w:rPr>
        <w:drawing>
          <wp:inline distT="0" distB="0" distL="0" distR="0">
            <wp:extent cx="1259205" cy="104394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59205" cy="1043940"/>
                    </a:xfrm>
                    <a:prstGeom prst="rect">
                      <a:avLst/>
                    </a:prstGeom>
                    <a:noFill/>
                    <a:ln w="9525">
                      <a:noFill/>
                      <a:miter lim="800000"/>
                      <a:headEnd/>
                      <a:tailEnd/>
                    </a:ln>
                  </pic:spPr>
                </pic:pic>
              </a:graphicData>
            </a:graphic>
          </wp:inline>
        </w:drawing>
      </w:r>
    </w:p>
    <w:p w:rsidR="00E80295" w:rsidRDefault="00E80295" w:rsidP="005C0ABB">
      <w:pPr>
        <w:pStyle w:val="ListParagraph"/>
        <w:shd w:val="clear" w:color="auto" w:fill="FFFFFF"/>
        <w:spacing w:after="0" w:line="240" w:lineRule="auto"/>
        <w:jc w:val="both"/>
        <w:rPr>
          <w:rFonts w:ascii="Arial" w:hAnsi="Arial" w:cs="Arial"/>
          <w:sz w:val="24"/>
          <w:szCs w:val="24"/>
        </w:rPr>
      </w:pPr>
    </w:p>
    <w:p w:rsidR="00E80295" w:rsidRPr="00F47A0D" w:rsidRDefault="00E80295" w:rsidP="005C0ABB">
      <w:pPr>
        <w:pStyle w:val="ListParagraph"/>
        <w:shd w:val="clear" w:color="auto" w:fill="FFFFFF"/>
        <w:spacing w:after="0" w:line="240" w:lineRule="auto"/>
        <w:jc w:val="both"/>
        <w:rPr>
          <w:rFonts w:ascii="Arial" w:hAnsi="Arial" w:cs="Arial"/>
          <w:b/>
          <w:sz w:val="24"/>
          <w:szCs w:val="24"/>
        </w:rPr>
      </w:pPr>
      <w:r w:rsidRPr="00F47A0D">
        <w:rPr>
          <w:rFonts w:ascii="Arial" w:hAnsi="Arial" w:cs="Arial"/>
          <w:b/>
          <w:sz w:val="24"/>
          <w:szCs w:val="24"/>
        </w:rPr>
        <w:t>A.Ramesh Babu                            K.V.Acharya</w:t>
      </w:r>
    </w:p>
    <w:p w:rsidR="00A12904" w:rsidRPr="00F47A0D" w:rsidRDefault="00E80295" w:rsidP="005C0ABB">
      <w:pPr>
        <w:pStyle w:val="ListParagraph"/>
        <w:shd w:val="clear" w:color="auto" w:fill="FFFFFF"/>
        <w:spacing w:after="0" w:line="240" w:lineRule="auto"/>
        <w:jc w:val="both"/>
        <w:rPr>
          <w:rFonts w:ascii="Arial" w:hAnsi="Arial" w:cs="Arial"/>
          <w:b/>
          <w:sz w:val="24"/>
          <w:szCs w:val="24"/>
        </w:rPr>
      </w:pPr>
      <w:r w:rsidRPr="00F47A0D">
        <w:rPr>
          <w:rFonts w:ascii="Arial" w:hAnsi="Arial" w:cs="Arial"/>
          <w:b/>
          <w:sz w:val="24"/>
          <w:szCs w:val="24"/>
        </w:rPr>
        <w:t xml:space="preserve">                    Joint Conveners CBPRO   </w:t>
      </w:r>
    </w:p>
    <w:p w:rsidR="00713852" w:rsidRDefault="00713852" w:rsidP="00A12904">
      <w:pPr>
        <w:pStyle w:val="ListParagraph"/>
        <w:spacing w:after="0" w:line="240" w:lineRule="auto"/>
        <w:jc w:val="both"/>
        <w:rPr>
          <w:noProof/>
        </w:rPr>
      </w:pPr>
    </w:p>
    <w:p w:rsidR="00713852" w:rsidRDefault="00713852" w:rsidP="00A12904">
      <w:pPr>
        <w:pStyle w:val="ListParagraph"/>
        <w:spacing w:after="0" w:line="240" w:lineRule="auto"/>
        <w:jc w:val="both"/>
        <w:rPr>
          <w:noProof/>
        </w:rPr>
      </w:pPr>
    </w:p>
    <w:p w:rsidR="00A12904" w:rsidRPr="00E300A0" w:rsidRDefault="00713852" w:rsidP="00A12904">
      <w:pPr>
        <w:pStyle w:val="ListParagraph"/>
        <w:spacing w:after="0" w:line="240" w:lineRule="auto"/>
        <w:jc w:val="both"/>
        <w:rPr>
          <w:rFonts w:ascii="Calibri" w:hAnsi="Calibri" w:cs="Calibri"/>
          <w:sz w:val="28"/>
          <w:szCs w:val="28"/>
        </w:rPr>
      </w:pPr>
      <w:r>
        <w:rPr>
          <w:rFonts w:ascii="Calibri" w:hAnsi="Calibri" w:cs="Calibri"/>
          <w:sz w:val="28"/>
          <w:szCs w:val="28"/>
        </w:rPr>
        <w:br w:type="textWrapping" w:clear="all"/>
      </w:r>
    </w:p>
    <w:p w:rsidR="00A12904" w:rsidRPr="00E300A0" w:rsidRDefault="00A12904" w:rsidP="00A12904">
      <w:pPr>
        <w:pStyle w:val="ListParagraph"/>
        <w:spacing w:after="0" w:line="240" w:lineRule="auto"/>
        <w:jc w:val="both"/>
        <w:rPr>
          <w:rFonts w:ascii="Calibri" w:hAnsi="Calibri" w:cs="Calibri"/>
          <w:sz w:val="28"/>
          <w:szCs w:val="28"/>
        </w:rPr>
      </w:pPr>
    </w:p>
    <w:p w:rsidR="00A12904" w:rsidRPr="00E300A0" w:rsidRDefault="00A12904" w:rsidP="00A12904">
      <w:pPr>
        <w:jc w:val="both"/>
        <w:rPr>
          <w:rFonts w:ascii="Calibri" w:hAnsi="Calibri" w:cs="Calibri"/>
          <w:sz w:val="28"/>
          <w:szCs w:val="28"/>
        </w:rPr>
      </w:pPr>
    </w:p>
    <w:p w:rsidR="00A12904" w:rsidRPr="00E300A0" w:rsidRDefault="00A12904">
      <w:pPr>
        <w:jc w:val="both"/>
        <w:rPr>
          <w:rFonts w:ascii="Calibri" w:hAnsi="Calibri" w:cs="Calibri"/>
          <w:sz w:val="28"/>
          <w:szCs w:val="28"/>
        </w:rPr>
      </w:pPr>
    </w:p>
    <w:sectPr w:rsidR="00A12904" w:rsidRPr="00E300A0" w:rsidSect="00551A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14D" w:rsidRDefault="00C3714D" w:rsidP="00E300A0">
      <w:pPr>
        <w:spacing w:after="0" w:line="240" w:lineRule="auto"/>
      </w:pPr>
      <w:r>
        <w:separator/>
      </w:r>
    </w:p>
  </w:endnote>
  <w:endnote w:type="continuationSeparator" w:id="1">
    <w:p w:rsidR="00C3714D" w:rsidRDefault="00C3714D" w:rsidP="00E30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9388"/>
      <w:docPartObj>
        <w:docPartGallery w:val="Page Numbers (Bottom of Page)"/>
        <w:docPartUnique/>
      </w:docPartObj>
    </w:sdtPr>
    <w:sdtContent>
      <w:p w:rsidR="00BD6D38" w:rsidRDefault="009C6137">
        <w:pPr>
          <w:pStyle w:val="Footer"/>
          <w:jc w:val="center"/>
        </w:pPr>
        <w:fldSimple w:instr=" PAGE   \* MERGEFORMAT ">
          <w:r w:rsidR="00CF7D6A">
            <w:rPr>
              <w:noProof/>
            </w:rPr>
            <w:t>1</w:t>
          </w:r>
        </w:fldSimple>
      </w:p>
    </w:sdtContent>
  </w:sdt>
  <w:p w:rsidR="00BD6D38" w:rsidRDefault="00BD6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14D" w:rsidRDefault="00C3714D" w:rsidP="00E300A0">
      <w:pPr>
        <w:spacing w:after="0" w:line="240" w:lineRule="auto"/>
      </w:pPr>
      <w:r>
        <w:separator/>
      </w:r>
    </w:p>
  </w:footnote>
  <w:footnote w:type="continuationSeparator" w:id="1">
    <w:p w:rsidR="00C3714D" w:rsidRDefault="00C3714D" w:rsidP="00E300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24D" w:rsidRDefault="00DE624D">
    <w:pPr>
      <w:pStyle w:val="Header"/>
    </w:pPr>
  </w:p>
  <w:p w:rsidR="00DE624D" w:rsidRPr="002C6936" w:rsidRDefault="00DE624D" w:rsidP="00DE624D">
    <w:pPr>
      <w:pStyle w:val="Header"/>
      <w:jc w:val="center"/>
      <w:rPr>
        <w:rFonts w:ascii="Impact" w:hAnsi="Impact"/>
        <w:color w:val="5F497A"/>
        <w:sz w:val="32"/>
        <w:szCs w:val="32"/>
      </w:rPr>
    </w:pPr>
    <w:r w:rsidRPr="002C6936">
      <w:rPr>
        <w:rFonts w:ascii="Impact" w:hAnsi="Impact"/>
        <w:color w:val="5F497A"/>
        <w:sz w:val="32"/>
        <w:szCs w:val="32"/>
      </w:rPr>
      <w:t>COORDINATION OF BANK PENSIONERS’ AND RETIREES ORGANISATIONS</w:t>
    </w:r>
  </w:p>
  <w:p w:rsidR="00DE624D" w:rsidRPr="00223FFC" w:rsidRDefault="00DE624D" w:rsidP="00DE624D">
    <w:pPr>
      <w:pStyle w:val="Header"/>
      <w:jc w:val="center"/>
      <w:rPr>
        <w:color w:val="000090"/>
        <w:sz w:val="20"/>
        <w:szCs w:val="20"/>
      </w:rPr>
    </w:pPr>
    <w:r w:rsidRPr="00223FFC">
      <w:rPr>
        <w:color w:val="000090"/>
        <w:sz w:val="20"/>
        <w:szCs w:val="20"/>
      </w:rPr>
      <w:t>Flat No. 1103, Block-3B, S.M.R. Vinay Fountainhead, Culvary Temple Road,</w:t>
    </w:r>
  </w:p>
  <w:p w:rsidR="00DE624D" w:rsidRDefault="00DE624D" w:rsidP="00DE624D">
    <w:pPr>
      <w:pStyle w:val="Header"/>
      <w:jc w:val="center"/>
      <w:rPr>
        <w:color w:val="000090"/>
      </w:rPr>
    </w:pPr>
    <w:r w:rsidRPr="00223FFC">
      <w:rPr>
        <w:color w:val="000090"/>
        <w:sz w:val="20"/>
        <w:szCs w:val="20"/>
      </w:rPr>
      <w:t xml:space="preserve">Hydernagar, </w:t>
    </w:r>
    <w:r>
      <w:rPr>
        <w:color w:val="000090"/>
        <w:sz w:val="20"/>
        <w:szCs w:val="20"/>
      </w:rPr>
      <w:t>Hyderabad</w:t>
    </w:r>
    <w:r w:rsidRPr="00223FFC">
      <w:rPr>
        <w:color w:val="000090"/>
        <w:sz w:val="20"/>
        <w:szCs w:val="20"/>
      </w:rPr>
      <w:t xml:space="preserve"> – 500 049</w:t>
    </w:r>
    <w:r>
      <w:rPr>
        <w:color w:val="000090"/>
      </w:rPr>
      <w:t>.</w:t>
    </w:r>
  </w:p>
  <w:p w:rsidR="00DE624D" w:rsidRDefault="00DE624D" w:rsidP="00DE624D">
    <w:pPr>
      <w:pStyle w:val="Header"/>
    </w:pPr>
    <w:r>
      <w:rPr>
        <w:color w:val="000090"/>
      </w:rPr>
      <w:t>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42EDB"/>
    <w:multiLevelType w:val="hybridMultilevel"/>
    <w:tmpl w:val="9EE0835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7766527B"/>
    <w:multiLevelType w:val="hybridMultilevel"/>
    <w:tmpl w:val="1E0E7ACC"/>
    <w:lvl w:ilvl="0" w:tplc="0409000F">
      <w:start w:val="5"/>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A5940"/>
    <w:rsid w:val="00011095"/>
    <w:rsid w:val="00040335"/>
    <w:rsid w:val="000563A9"/>
    <w:rsid w:val="000C0BB7"/>
    <w:rsid w:val="000F0489"/>
    <w:rsid w:val="001626DE"/>
    <w:rsid w:val="00195A54"/>
    <w:rsid w:val="001A5940"/>
    <w:rsid w:val="001C36AE"/>
    <w:rsid w:val="001C5C91"/>
    <w:rsid w:val="00205257"/>
    <w:rsid w:val="0021150B"/>
    <w:rsid w:val="002350A7"/>
    <w:rsid w:val="002E3EF4"/>
    <w:rsid w:val="003638CA"/>
    <w:rsid w:val="004524E4"/>
    <w:rsid w:val="004E5B0F"/>
    <w:rsid w:val="00551A46"/>
    <w:rsid w:val="00554E0B"/>
    <w:rsid w:val="00557A46"/>
    <w:rsid w:val="00576C06"/>
    <w:rsid w:val="00592DAC"/>
    <w:rsid w:val="005A794A"/>
    <w:rsid w:val="005C0ABB"/>
    <w:rsid w:val="006941FB"/>
    <w:rsid w:val="006E27CA"/>
    <w:rsid w:val="007126E8"/>
    <w:rsid w:val="00713852"/>
    <w:rsid w:val="00723EE4"/>
    <w:rsid w:val="00773BC0"/>
    <w:rsid w:val="007A7B6F"/>
    <w:rsid w:val="007D70D4"/>
    <w:rsid w:val="0080540F"/>
    <w:rsid w:val="00817A18"/>
    <w:rsid w:val="00853E1E"/>
    <w:rsid w:val="00867F12"/>
    <w:rsid w:val="00881D5D"/>
    <w:rsid w:val="008B025C"/>
    <w:rsid w:val="00956C2B"/>
    <w:rsid w:val="009C6137"/>
    <w:rsid w:val="009D24CE"/>
    <w:rsid w:val="009D7CF1"/>
    <w:rsid w:val="00A12904"/>
    <w:rsid w:val="00B025DD"/>
    <w:rsid w:val="00BA4CD5"/>
    <w:rsid w:val="00BC3293"/>
    <w:rsid w:val="00BD6D38"/>
    <w:rsid w:val="00C3714D"/>
    <w:rsid w:val="00C55F04"/>
    <w:rsid w:val="00CF7D6A"/>
    <w:rsid w:val="00D524DE"/>
    <w:rsid w:val="00DE316C"/>
    <w:rsid w:val="00DE624D"/>
    <w:rsid w:val="00E21103"/>
    <w:rsid w:val="00E300A0"/>
    <w:rsid w:val="00E3740D"/>
    <w:rsid w:val="00E646C8"/>
    <w:rsid w:val="00E80295"/>
    <w:rsid w:val="00E82AD1"/>
    <w:rsid w:val="00E923CE"/>
    <w:rsid w:val="00EA586C"/>
    <w:rsid w:val="00EB7C24"/>
    <w:rsid w:val="00EC1A89"/>
    <w:rsid w:val="00F47A0D"/>
    <w:rsid w:val="00F66405"/>
    <w:rsid w:val="00F80679"/>
    <w:rsid w:val="00F81329"/>
    <w:rsid w:val="00FA4E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A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AD1"/>
    <w:pPr>
      <w:ind w:left="720"/>
      <w:contextualSpacing/>
    </w:pPr>
  </w:style>
  <w:style w:type="character" w:customStyle="1" w:styleId="apple-converted-space">
    <w:name w:val="apple-converted-space"/>
    <w:basedOn w:val="DefaultParagraphFont"/>
    <w:rsid w:val="003638CA"/>
  </w:style>
  <w:style w:type="paragraph" w:styleId="Header">
    <w:name w:val="header"/>
    <w:basedOn w:val="Normal"/>
    <w:link w:val="HeaderChar"/>
    <w:uiPriority w:val="99"/>
    <w:unhideWhenUsed/>
    <w:rsid w:val="00E3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A0"/>
  </w:style>
  <w:style w:type="paragraph" w:styleId="Footer">
    <w:name w:val="footer"/>
    <w:basedOn w:val="Normal"/>
    <w:link w:val="FooterChar"/>
    <w:uiPriority w:val="99"/>
    <w:unhideWhenUsed/>
    <w:rsid w:val="00E3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A0"/>
  </w:style>
  <w:style w:type="character" w:styleId="Hyperlink">
    <w:name w:val="Hyperlink"/>
    <w:uiPriority w:val="99"/>
    <w:unhideWhenUsed/>
    <w:rsid w:val="00DE624D"/>
    <w:rPr>
      <w:color w:val="0000FF"/>
      <w:u w:val="single"/>
    </w:rPr>
  </w:style>
  <w:style w:type="paragraph" w:styleId="BalloonText">
    <w:name w:val="Balloon Text"/>
    <w:basedOn w:val="Normal"/>
    <w:link w:val="BalloonTextChar"/>
    <w:uiPriority w:val="99"/>
    <w:semiHidden/>
    <w:unhideWhenUsed/>
    <w:rsid w:val="00DE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6297828">
      <w:bodyDiv w:val="1"/>
      <w:marLeft w:val="0"/>
      <w:marRight w:val="0"/>
      <w:marTop w:val="0"/>
      <w:marBottom w:val="0"/>
      <w:divBdr>
        <w:top w:val="none" w:sz="0" w:space="0" w:color="auto"/>
        <w:left w:val="none" w:sz="0" w:space="0" w:color="auto"/>
        <w:bottom w:val="none" w:sz="0" w:space="0" w:color="auto"/>
        <w:right w:val="none" w:sz="0" w:space="0" w:color="auto"/>
      </w:divBdr>
      <w:divsChild>
        <w:div w:id="567570608">
          <w:marLeft w:val="0"/>
          <w:marRight w:val="0"/>
          <w:marTop w:val="0"/>
          <w:marBottom w:val="0"/>
          <w:divBdr>
            <w:top w:val="none" w:sz="0" w:space="0" w:color="auto"/>
            <w:left w:val="none" w:sz="0" w:space="0" w:color="auto"/>
            <w:bottom w:val="none" w:sz="0" w:space="0" w:color="auto"/>
            <w:right w:val="none" w:sz="0" w:space="0" w:color="auto"/>
          </w:divBdr>
        </w:div>
        <w:div w:id="766072946">
          <w:marLeft w:val="0"/>
          <w:marRight w:val="0"/>
          <w:marTop w:val="0"/>
          <w:marBottom w:val="0"/>
          <w:divBdr>
            <w:top w:val="none" w:sz="0" w:space="0" w:color="auto"/>
            <w:left w:val="none" w:sz="0" w:space="0" w:color="auto"/>
            <w:bottom w:val="none" w:sz="0" w:space="0" w:color="auto"/>
            <w:right w:val="none" w:sz="0" w:space="0" w:color="auto"/>
          </w:divBdr>
        </w:div>
        <w:div w:id="690113104">
          <w:marLeft w:val="0"/>
          <w:marRight w:val="0"/>
          <w:marTop w:val="0"/>
          <w:marBottom w:val="0"/>
          <w:divBdr>
            <w:top w:val="none" w:sz="0" w:space="0" w:color="auto"/>
            <w:left w:val="none" w:sz="0" w:space="0" w:color="auto"/>
            <w:bottom w:val="none" w:sz="0" w:space="0" w:color="auto"/>
            <w:right w:val="none" w:sz="0" w:space="0" w:color="auto"/>
          </w:divBdr>
        </w:div>
        <w:div w:id="2111196062">
          <w:marLeft w:val="0"/>
          <w:marRight w:val="0"/>
          <w:marTop w:val="0"/>
          <w:marBottom w:val="0"/>
          <w:divBdr>
            <w:top w:val="none" w:sz="0" w:space="0" w:color="auto"/>
            <w:left w:val="none" w:sz="0" w:space="0" w:color="auto"/>
            <w:bottom w:val="none" w:sz="0" w:space="0" w:color="auto"/>
            <w:right w:val="none" w:sz="0" w:space="0" w:color="auto"/>
          </w:divBdr>
        </w:div>
        <w:div w:id="88090780">
          <w:marLeft w:val="0"/>
          <w:marRight w:val="0"/>
          <w:marTop w:val="0"/>
          <w:marBottom w:val="0"/>
          <w:divBdr>
            <w:top w:val="none" w:sz="0" w:space="0" w:color="auto"/>
            <w:left w:val="none" w:sz="0" w:space="0" w:color="auto"/>
            <w:bottom w:val="none" w:sz="0" w:space="0" w:color="auto"/>
            <w:right w:val="none" w:sz="0" w:space="0" w:color="auto"/>
          </w:divBdr>
        </w:div>
        <w:div w:id="10766177">
          <w:marLeft w:val="0"/>
          <w:marRight w:val="0"/>
          <w:marTop w:val="0"/>
          <w:marBottom w:val="0"/>
          <w:divBdr>
            <w:top w:val="none" w:sz="0" w:space="0" w:color="auto"/>
            <w:left w:val="none" w:sz="0" w:space="0" w:color="auto"/>
            <w:bottom w:val="none" w:sz="0" w:space="0" w:color="auto"/>
            <w:right w:val="none" w:sz="0" w:space="0" w:color="auto"/>
          </w:divBdr>
        </w:div>
      </w:divsChild>
    </w:div>
    <w:div w:id="2118405721">
      <w:bodyDiv w:val="1"/>
      <w:marLeft w:val="0"/>
      <w:marRight w:val="0"/>
      <w:marTop w:val="0"/>
      <w:marBottom w:val="0"/>
      <w:divBdr>
        <w:top w:val="none" w:sz="0" w:space="0" w:color="auto"/>
        <w:left w:val="none" w:sz="0" w:space="0" w:color="auto"/>
        <w:bottom w:val="none" w:sz="0" w:space="0" w:color="auto"/>
        <w:right w:val="none" w:sz="0" w:space="0" w:color="auto"/>
      </w:divBdr>
      <w:divsChild>
        <w:div w:id="1735464534">
          <w:marLeft w:val="0"/>
          <w:marRight w:val="0"/>
          <w:marTop w:val="0"/>
          <w:marBottom w:val="0"/>
          <w:divBdr>
            <w:top w:val="none" w:sz="0" w:space="0" w:color="auto"/>
            <w:left w:val="none" w:sz="0" w:space="0" w:color="auto"/>
            <w:bottom w:val="none" w:sz="0" w:space="0" w:color="auto"/>
            <w:right w:val="none" w:sz="0" w:space="0" w:color="auto"/>
          </w:divBdr>
        </w:div>
        <w:div w:id="1997605798">
          <w:marLeft w:val="0"/>
          <w:marRight w:val="0"/>
          <w:marTop w:val="0"/>
          <w:marBottom w:val="0"/>
          <w:divBdr>
            <w:top w:val="none" w:sz="0" w:space="0" w:color="auto"/>
            <w:left w:val="none" w:sz="0" w:space="0" w:color="auto"/>
            <w:bottom w:val="none" w:sz="0" w:space="0" w:color="auto"/>
            <w:right w:val="none" w:sz="0" w:space="0" w:color="auto"/>
          </w:divBdr>
        </w:div>
        <w:div w:id="1895698008">
          <w:marLeft w:val="0"/>
          <w:marRight w:val="0"/>
          <w:marTop w:val="0"/>
          <w:marBottom w:val="0"/>
          <w:divBdr>
            <w:top w:val="none" w:sz="0" w:space="0" w:color="auto"/>
            <w:left w:val="none" w:sz="0" w:space="0" w:color="auto"/>
            <w:bottom w:val="none" w:sz="0" w:space="0" w:color="auto"/>
            <w:right w:val="none" w:sz="0" w:space="0" w:color="auto"/>
          </w:divBdr>
        </w:div>
        <w:div w:id="1484934506">
          <w:marLeft w:val="0"/>
          <w:marRight w:val="0"/>
          <w:marTop w:val="0"/>
          <w:marBottom w:val="0"/>
          <w:divBdr>
            <w:top w:val="none" w:sz="0" w:space="0" w:color="auto"/>
            <w:left w:val="none" w:sz="0" w:space="0" w:color="auto"/>
            <w:bottom w:val="none" w:sz="0" w:space="0" w:color="auto"/>
            <w:right w:val="none" w:sz="0" w:space="0" w:color="auto"/>
          </w:divBdr>
        </w:div>
        <w:div w:id="1806314504">
          <w:marLeft w:val="0"/>
          <w:marRight w:val="0"/>
          <w:marTop w:val="0"/>
          <w:marBottom w:val="0"/>
          <w:divBdr>
            <w:top w:val="none" w:sz="0" w:space="0" w:color="auto"/>
            <w:left w:val="none" w:sz="0" w:space="0" w:color="auto"/>
            <w:bottom w:val="none" w:sz="0" w:space="0" w:color="auto"/>
            <w:right w:val="none" w:sz="0" w:space="0" w:color="auto"/>
          </w:divBdr>
        </w:div>
        <w:div w:id="1005404837">
          <w:marLeft w:val="0"/>
          <w:marRight w:val="0"/>
          <w:marTop w:val="0"/>
          <w:marBottom w:val="0"/>
          <w:divBdr>
            <w:top w:val="none" w:sz="0" w:space="0" w:color="auto"/>
            <w:left w:val="none" w:sz="0" w:space="0" w:color="auto"/>
            <w:bottom w:val="none" w:sz="0" w:space="0" w:color="auto"/>
            <w:right w:val="none" w:sz="0" w:space="0" w:color="auto"/>
          </w:divBdr>
        </w:div>
        <w:div w:id="102035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bu260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EMC Corporation</Company>
  <LinksUpToDate>false</LinksUpToDate>
  <CharactersWithSpaces>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dc:creator>
  <cp:lastModifiedBy>Fortune-Enterprises</cp:lastModifiedBy>
  <cp:revision>2</cp:revision>
  <dcterms:created xsi:type="dcterms:W3CDTF">2017-03-13T03:02:00Z</dcterms:created>
  <dcterms:modified xsi:type="dcterms:W3CDTF">2017-03-13T03:02:00Z</dcterms:modified>
</cp:coreProperties>
</file>